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B796" w14:textId="77777777" w:rsidR="00FD1944" w:rsidRDefault="00FD1944" w:rsidP="00FD1944">
      <w:pPr>
        <w:pStyle w:val="Heading1"/>
      </w:pPr>
      <w:r>
        <w:t>Board of Trustees Policy: School Policy Framework (NAG 6)</w:t>
      </w:r>
    </w:p>
    <w:p w14:paraId="3E05A9DE" w14:textId="77777777" w:rsidR="00FD1944" w:rsidRPr="00FD1944" w:rsidRDefault="00FD1944" w:rsidP="00FD1944">
      <w:pPr>
        <w:pStyle w:val="Heading2"/>
      </w:pPr>
      <w:r>
        <w:t>Blind &amp; Low Vision Education Network NZ</w:t>
      </w:r>
    </w:p>
    <w:p w14:paraId="7A528236" w14:textId="77777777" w:rsidR="002B6B2B" w:rsidRDefault="002B6B2B" w:rsidP="003124C0">
      <w:pPr>
        <w:jc w:val="center"/>
        <w:rPr>
          <w:b/>
        </w:rPr>
      </w:pPr>
    </w:p>
    <w:p w14:paraId="4A5A5D49" w14:textId="77777777" w:rsidR="003124C0" w:rsidRDefault="00FD1944" w:rsidP="00FD1944">
      <w:pPr>
        <w:pStyle w:val="Heading2"/>
      </w:pPr>
      <w:r>
        <w:t>Statement of Intent:</w:t>
      </w:r>
    </w:p>
    <w:p w14:paraId="07B9832E" w14:textId="77777777" w:rsidR="003124C0" w:rsidRDefault="003124C0" w:rsidP="003124C0">
      <w:r>
        <w:t xml:space="preserve">The </w:t>
      </w:r>
      <w:r w:rsidR="00FD1944">
        <w:t>Board of Trustees</w:t>
      </w:r>
      <w:r>
        <w:t xml:space="preserve"> of Blind and Low Vision Education Network NZ (BLENNZ) is focused on the ongoing improvement of </w:t>
      </w:r>
      <w:r w:rsidR="00B2406F">
        <w:t>ākonga</w:t>
      </w:r>
      <w:r>
        <w:t xml:space="preserve"> progress and achievement within an environment that provides inclusive education.</w:t>
      </w:r>
    </w:p>
    <w:p w14:paraId="72EA1E06" w14:textId="77777777" w:rsidR="003124C0" w:rsidRDefault="003124C0" w:rsidP="003124C0"/>
    <w:p w14:paraId="1A8ED3BA" w14:textId="77777777" w:rsidR="00B2406F" w:rsidRDefault="00B2406F" w:rsidP="003124C0">
      <w:r>
        <w:t>The board acts in a stewardship role and is entrusted to work on behalf of all stakeholders. It is accountable for the school’s performance, emphasises strategic leadership, sets the vision for the school and ensures compliance with legal and policy requirements.</w:t>
      </w:r>
    </w:p>
    <w:p w14:paraId="745D50AC" w14:textId="77777777" w:rsidR="00B2406F" w:rsidRDefault="00B2406F" w:rsidP="003124C0"/>
    <w:p w14:paraId="3AECC8FA" w14:textId="77777777" w:rsidR="00B2406F" w:rsidRDefault="00B2406F" w:rsidP="003124C0">
      <w:r>
        <w:t xml:space="preserve">Board policies are at a governance level and outline clear delegations to the principal. </w:t>
      </w:r>
    </w:p>
    <w:p w14:paraId="28E6E747" w14:textId="77777777" w:rsidR="00B2406F" w:rsidRDefault="00B2406F" w:rsidP="003124C0"/>
    <w:p w14:paraId="3D435B12" w14:textId="77777777" w:rsidR="00B2406F" w:rsidRDefault="00B2406F" w:rsidP="003124C0">
      <w:r>
        <w:t>The board is proactive rather than reactive in its operations and decision making and does not involve itself in the administrative details of the day to day running of the school.</w:t>
      </w:r>
    </w:p>
    <w:p w14:paraId="5C0997EE" w14:textId="77777777" w:rsidR="00B2406F" w:rsidRDefault="00B2406F" w:rsidP="003124C0"/>
    <w:p w14:paraId="77166FDB" w14:textId="77777777" w:rsidR="00B2406F" w:rsidRDefault="00B2406F" w:rsidP="003124C0">
      <w:r>
        <w:t>The board delegates all authority and accountability for the day to day operational organisation of the school to the principal who must ensure compliance with both the board’s policy framework and the law of New Zealand.</w:t>
      </w:r>
    </w:p>
    <w:p w14:paraId="32CE2211" w14:textId="77777777" w:rsidR="00B2406F" w:rsidRDefault="00B2406F" w:rsidP="003124C0"/>
    <w:p w14:paraId="28FDA33E" w14:textId="77777777" w:rsidR="00B2406F" w:rsidRDefault="00B2406F" w:rsidP="00B2406F">
      <w:pPr>
        <w:pStyle w:val="Heading2"/>
      </w:pPr>
      <w:r>
        <w:t>Policy Requirements:</w:t>
      </w:r>
    </w:p>
    <w:p w14:paraId="256C5CCA" w14:textId="77777777" w:rsidR="00B2406F" w:rsidRDefault="00B2406F" w:rsidP="00B2406F">
      <w:pPr>
        <w:pStyle w:val="Heading3"/>
      </w:pPr>
      <w:r>
        <w:t>Education Act 1989</w:t>
      </w:r>
    </w:p>
    <w:p w14:paraId="49306E00" w14:textId="77777777" w:rsidR="00B2406F" w:rsidRDefault="00B2406F" w:rsidP="00B2406F">
      <w:r>
        <w:t>In developing the above definitions the board is mindful of the sections of the Education Act 1989 set out below. The Education Act 1989 was amended on 19 May 2017, clarifying the governance role of the board of trustees and a focus on student achievement. The powers and functions of boards are now set out in Schedule 6 of the Act, with the principal’s role as chief executive specified in section 76.</w:t>
      </w:r>
    </w:p>
    <w:p w14:paraId="61F8CDD0" w14:textId="77777777" w:rsidR="00B2406F" w:rsidRPr="00B2406F" w:rsidRDefault="00B2406F" w:rsidP="00B2406F"/>
    <w:p w14:paraId="20FCA045" w14:textId="77777777" w:rsidR="00B2406F" w:rsidRDefault="00B2406F" w:rsidP="00772778">
      <w:pPr>
        <w:pStyle w:val="Heading3"/>
      </w:pPr>
      <w:r>
        <w:rPr>
          <w:rFonts w:eastAsia="Calibri"/>
        </w:rPr>
        <w:t>Schedule</w:t>
      </w:r>
      <w:r>
        <w:t xml:space="preserve"> 6 </w:t>
      </w:r>
      <w:r>
        <w:rPr>
          <w:rFonts w:eastAsia="Calibri"/>
        </w:rPr>
        <w:t>Boards</w:t>
      </w:r>
      <w:r>
        <w:t xml:space="preserve"> </w:t>
      </w:r>
      <w:r>
        <w:rPr>
          <w:rFonts w:eastAsia="Calibri"/>
        </w:rPr>
        <w:t>of</w:t>
      </w:r>
      <w:r>
        <w:t xml:space="preserve"> </w:t>
      </w:r>
      <w:r>
        <w:rPr>
          <w:rFonts w:eastAsia="Calibri"/>
        </w:rPr>
        <w:t>trustees</w:t>
      </w:r>
    </w:p>
    <w:p w14:paraId="169D4CA3" w14:textId="77777777" w:rsidR="00B2406F" w:rsidRDefault="00B2406F" w:rsidP="00772778">
      <w:pPr>
        <w:pStyle w:val="Heading4"/>
        <w:rPr>
          <w:sz w:val="24"/>
        </w:rPr>
      </w:pPr>
      <w:r>
        <w:rPr>
          <w:rFonts w:eastAsia="Calibri"/>
        </w:rPr>
        <w:t>4 Board</w:t>
      </w:r>
      <w:r>
        <w:t xml:space="preserve"> </w:t>
      </w:r>
      <w:r>
        <w:rPr>
          <w:rFonts w:eastAsia="Calibri"/>
        </w:rPr>
        <w:t>is</w:t>
      </w:r>
      <w:r>
        <w:t xml:space="preserve"> </w:t>
      </w:r>
      <w:r>
        <w:rPr>
          <w:rFonts w:eastAsia="Calibri"/>
        </w:rPr>
        <w:t>governing</w:t>
      </w:r>
      <w:r>
        <w:t xml:space="preserve"> </w:t>
      </w:r>
      <w:r>
        <w:rPr>
          <w:rFonts w:eastAsia="Calibri"/>
        </w:rPr>
        <w:t>body</w:t>
      </w:r>
      <w:r>
        <w:t xml:space="preserve"> </w:t>
      </w:r>
      <w:r>
        <w:rPr>
          <w:rFonts w:eastAsia="Calibri"/>
        </w:rPr>
        <w:t>of</w:t>
      </w:r>
      <w:r>
        <w:rPr>
          <w:spacing w:val="-1"/>
        </w:rPr>
        <w:t xml:space="preserve"> </w:t>
      </w:r>
      <w:r>
        <w:rPr>
          <w:rFonts w:eastAsia="Calibri"/>
        </w:rPr>
        <w:t>school</w:t>
      </w:r>
    </w:p>
    <w:p w14:paraId="2B91CD54" w14:textId="77777777" w:rsidR="00B2406F" w:rsidRPr="00772778" w:rsidRDefault="00B2406F" w:rsidP="005575B2">
      <w:pPr>
        <w:pStyle w:val="NoSpacing"/>
        <w:numPr>
          <w:ilvl w:val="0"/>
          <w:numId w:val="14"/>
        </w:numPr>
      </w:pPr>
      <w:r w:rsidRPr="00772778">
        <w:t>A board is the governing body of its</w:t>
      </w:r>
      <w:r w:rsidRPr="00772778">
        <w:rPr>
          <w:spacing w:val="-1"/>
        </w:rPr>
        <w:t xml:space="preserve"> </w:t>
      </w:r>
      <w:r w:rsidRPr="00772778">
        <w:t>school.</w:t>
      </w:r>
    </w:p>
    <w:p w14:paraId="137EC744" w14:textId="77777777" w:rsidR="00B2406F" w:rsidRPr="00772778" w:rsidRDefault="00B2406F" w:rsidP="005575B2">
      <w:pPr>
        <w:pStyle w:val="NoSpacing"/>
        <w:numPr>
          <w:ilvl w:val="0"/>
          <w:numId w:val="14"/>
        </w:numPr>
      </w:pPr>
      <w:r w:rsidRPr="00772778">
        <w:t>A board is responsible for the governance of the school, including setting the policies by which the school is to be controlled and</w:t>
      </w:r>
      <w:r w:rsidRPr="00772778">
        <w:rPr>
          <w:spacing w:val="-3"/>
        </w:rPr>
        <w:t xml:space="preserve"> </w:t>
      </w:r>
      <w:r w:rsidRPr="00772778">
        <w:t>managed.</w:t>
      </w:r>
    </w:p>
    <w:p w14:paraId="01AF3494" w14:textId="77777777" w:rsidR="00B2406F" w:rsidRPr="00772778" w:rsidRDefault="00B2406F" w:rsidP="005575B2">
      <w:pPr>
        <w:pStyle w:val="NoSpacing"/>
        <w:numPr>
          <w:ilvl w:val="0"/>
          <w:numId w:val="14"/>
        </w:numPr>
      </w:pPr>
      <w:r w:rsidRPr="00772778">
        <w:t>Under section 76, the school’s principal is the board’s chief executive in relation to the school’s control and</w:t>
      </w:r>
      <w:r w:rsidRPr="00772778">
        <w:rPr>
          <w:spacing w:val="-6"/>
        </w:rPr>
        <w:t xml:space="preserve"> </w:t>
      </w:r>
      <w:r w:rsidRPr="00772778">
        <w:t>management.</w:t>
      </w:r>
    </w:p>
    <w:p w14:paraId="3980C012" w14:textId="77777777" w:rsidR="00B2406F" w:rsidRDefault="00B2406F" w:rsidP="00772778">
      <w:pPr>
        <w:pStyle w:val="Heading4"/>
        <w:rPr>
          <w:sz w:val="24"/>
        </w:rPr>
      </w:pPr>
      <w:r>
        <w:rPr>
          <w:rFonts w:eastAsia="Calibri"/>
        </w:rPr>
        <w:t>5 Board</w:t>
      </w:r>
      <w:r>
        <w:t>’</w:t>
      </w:r>
      <w:r>
        <w:rPr>
          <w:rFonts w:eastAsia="Calibri"/>
        </w:rPr>
        <w:t>s</w:t>
      </w:r>
      <w:r>
        <w:t xml:space="preserve"> </w:t>
      </w:r>
      <w:r>
        <w:rPr>
          <w:rFonts w:eastAsia="Calibri"/>
        </w:rPr>
        <w:t>objectives</w:t>
      </w:r>
      <w:r>
        <w:t xml:space="preserve"> </w:t>
      </w:r>
      <w:r>
        <w:rPr>
          <w:rFonts w:eastAsia="Calibri"/>
        </w:rPr>
        <w:t>in</w:t>
      </w:r>
      <w:r>
        <w:t xml:space="preserve"> </w:t>
      </w:r>
      <w:r>
        <w:rPr>
          <w:rFonts w:eastAsia="Calibri"/>
        </w:rPr>
        <w:t>governing</w:t>
      </w:r>
      <w:r>
        <w:rPr>
          <w:spacing w:val="-1"/>
        </w:rPr>
        <w:t xml:space="preserve"> </w:t>
      </w:r>
      <w:r>
        <w:rPr>
          <w:rFonts w:eastAsia="Calibri"/>
        </w:rPr>
        <w:t>school</w:t>
      </w:r>
    </w:p>
    <w:p w14:paraId="1B555620" w14:textId="77777777" w:rsidR="00B2406F" w:rsidRPr="00772778" w:rsidRDefault="00B2406F" w:rsidP="005575B2">
      <w:pPr>
        <w:pStyle w:val="NoSpacing"/>
        <w:numPr>
          <w:ilvl w:val="0"/>
          <w:numId w:val="15"/>
        </w:numPr>
      </w:pPr>
      <w:r w:rsidRPr="00772778">
        <w:t>A board’s primary objective in governing the school is to ensure that every student at the school is able to attain his or her highest</w:t>
      </w:r>
      <w:r w:rsidRPr="00772778">
        <w:rPr>
          <w:spacing w:val="-22"/>
        </w:rPr>
        <w:t xml:space="preserve"> </w:t>
      </w:r>
      <w:r w:rsidRPr="00772778">
        <w:t>possible standard in educational</w:t>
      </w:r>
      <w:r w:rsidRPr="00772778">
        <w:rPr>
          <w:spacing w:val="-1"/>
        </w:rPr>
        <w:t xml:space="preserve"> </w:t>
      </w:r>
      <w:r w:rsidRPr="00772778">
        <w:t>achievement.</w:t>
      </w:r>
    </w:p>
    <w:p w14:paraId="33D5BD1A" w14:textId="77777777" w:rsidR="00B2406F" w:rsidRPr="00772778" w:rsidRDefault="00B2406F" w:rsidP="005575B2">
      <w:pPr>
        <w:pStyle w:val="NoSpacing"/>
        <w:numPr>
          <w:ilvl w:val="0"/>
          <w:numId w:val="15"/>
        </w:numPr>
      </w:pPr>
      <w:r w:rsidRPr="00772778">
        <w:rPr>
          <w:spacing w:val="-6"/>
        </w:rPr>
        <w:t xml:space="preserve">To </w:t>
      </w:r>
      <w:r w:rsidRPr="00772778">
        <w:t>meet the primary objective, the board</w:t>
      </w:r>
      <w:r w:rsidRPr="00772778">
        <w:rPr>
          <w:spacing w:val="5"/>
        </w:rPr>
        <w:t xml:space="preserve"> </w:t>
      </w:r>
      <w:r w:rsidRPr="00772778">
        <w:t>must—</w:t>
      </w:r>
    </w:p>
    <w:p w14:paraId="29C4601E" w14:textId="77777777" w:rsidR="00B2406F" w:rsidRPr="00772778" w:rsidRDefault="00B2406F" w:rsidP="001179F3">
      <w:pPr>
        <w:pStyle w:val="NoSpacing"/>
        <w:numPr>
          <w:ilvl w:val="0"/>
          <w:numId w:val="18"/>
        </w:numPr>
        <w:tabs>
          <w:tab w:val="left" w:pos="993"/>
        </w:tabs>
        <w:ind w:hanging="11"/>
      </w:pPr>
      <w:r w:rsidRPr="00772778">
        <w:t>ensure that the school—</w:t>
      </w:r>
    </w:p>
    <w:p w14:paraId="6DA83849" w14:textId="77777777" w:rsidR="00B2406F" w:rsidRPr="00772778" w:rsidRDefault="00B2406F" w:rsidP="001179F3">
      <w:pPr>
        <w:pStyle w:val="NoSpacing"/>
        <w:numPr>
          <w:ilvl w:val="0"/>
          <w:numId w:val="19"/>
        </w:numPr>
        <w:ind w:firstLine="273"/>
      </w:pPr>
      <w:r w:rsidRPr="00772778">
        <w:t>is a physically and emotionally safe place for all students and staff;</w:t>
      </w:r>
      <w:r w:rsidRPr="00772778">
        <w:rPr>
          <w:spacing w:val="-2"/>
        </w:rPr>
        <w:t xml:space="preserve"> </w:t>
      </w:r>
      <w:r w:rsidRPr="00772778">
        <w:t>and</w:t>
      </w:r>
    </w:p>
    <w:p w14:paraId="69843D1B" w14:textId="77777777" w:rsidR="00B2406F" w:rsidRPr="00772778" w:rsidRDefault="00B2406F" w:rsidP="001179F3">
      <w:pPr>
        <w:pStyle w:val="NoSpacing"/>
        <w:numPr>
          <w:ilvl w:val="0"/>
          <w:numId w:val="19"/>
        </w:numPr>
        <w:ind w:firstLine="273"/>
      </w:pPr>
      <w:r w:rsidRPr="00772778">
        <w:t>is inclusive of and caters for students with differing needs;</w:t>
      </w:r>
      <w:r w:rsidRPr="00772778">
        <w:rPr>
          <w:spacing w:val="-1"/>
        </w:rPr>
        <w:t xml:space="preserve"> </w:t>
      </w:r>
      <w:r w:rsidRPr="00772778">
        <w:t>and</w:t>
      </w:r>
    </w:p>
    <w:p w14:paraId="112926ED" w14:textId="77777777" w:rsidR="00B2406F" w:rsidRPr="00772778" w:rsidRDefault="00B2406F" w:rsidP="001179F3">
      <w:pPr>
        <w:pStyle w:val="NoSpacing"/>
        <w:numPr>
          <w:ilvl w:val="0"/>
          <w:numId w:val="18"/>
        </w:numPr>
        <w:tabs>
          <w:tab w:val="left" w:pos="993"/>
        </w:tabs>
        <w:ind w:hanging="11"/>
      </w:pPr>
      <w:r w:rsidRPr="00772778">
        <w:lastRenderedPageBreak/>
        <w:t>have particular regard to any statement of National Education and Learning Priorities issued under section 1A;</w:t>
      </w:r>
      <w:r w:rsidRPr="00772778">
        <w:rPr>
          <w:spacing w:val="-3"/>
        </w:rPr>
        <w:t xml:space="preserve"> </w:t>
      </w:r>
      <w:r w:rsidRPr="00772778">
        <w:t>and</w:t>
      </w:r>
    </w:p>
    <w:p w14:paraId="72C71E12" w14:textId="77777777" w:rsidR="00B2406F" w:rsidRPr="00772778" w:rsidRDefault="00B2406F" w:rsidP="001179F3">
      <w:pPr>
        <w:pStyle w:val="NoSpacing"/>
        <w:numPr>
          <w:ilvl w:val="0"/>
          <w:numId w:val="18"/>
        </w:numPr>
        <w:tabs>
          <w:tab w:val="left" w:pos="993"/>
        </w:tabs>
        <w:ind w:hanging="11"/>
      </w:pPr>
      <w:r w:rsidRPr="00772778">
        <w:t>comply with its obligations under sections 60A (in relation to curriculum statements and national performance measures), 61 (in relation</w:t>
      </w:r>
      <w:r w:rsidRPr="00772778">
        <w:rPr>
          <w:spacing w:val="-9"/>
        </w:rPr>
        <w:t xml:space="preserve"> </w:t>
      </w:r>
      <w:r w:rsidRPr="00772778">
        <w:t>to teaching and learning programmes), and 62 (in relation to monitoring of student performance);</w:t>
      </w:r>
      <w:r w:rsidRPr="00772778">
        <w:rPr>
          <w:spacing w:val="-1"/>
        </w:rPr>
        <w:t xml:space="preserve"> </w:t>
      </w:r>
      <w:r w:rsidRPr="00772778">
        <w:t>and</w:t>
      </w:r>
    </w:p>
    <w:p w14:paraId="5BD99FC9" w14:textId="77777777" w:rsidR="00B2406F" w:rsidRPr="00772778" w:rsidRDefault="00B2406F" w:rsidP="001179F3">
      <w:pPr>
        <w:pStyle w:val="NoSpacing"/>
        <w:numPr>
          <w:ilvl w:val="0"/>
          <w:numId w:val="18"/>
        </w:numPr>
        <w:tabs>
          <w:tab w:val="left" w:pos="993"/>
        </w:tabs>
        <w:ind w:hanging="11"/>
      </w:pPr>
      <w:r w:rsidRPr="00772778">
        <w:t>if the school is a member of a community of learning that has a community of learning agreement under section 72, comply with its obligations under that agreement as a member of that community; and</w:t>
      </w:r>
    </w:p>
    <w:p w14:paraId="46D3B69D" w14:textId="77777777" w:rsidR="00B2406F" w:rsidRPr="00772778" w:rsidRDefault="00B2406F" w:rsidP="001179F3">
      <w:pPr>
        <w:pStyle w:val="NoSpacing"/>
        <w:numPr>
          <w:ilvl w:val="0"/>
          <w:numId w:val="18"/>
        </w:numPr>
        <w:tabs>
          <w:tab w:val="left" w:pos="993"/>
        </w:tabs>
        <w:ind w:hanging="11"/>
      </w:pPr>
      <w:r w:rsidRPr="00772778">
        <w:t xml:space="preserve">comply with </w:t>
      </w:r>
      <w:proofErr w:type="gramStart"/>
      <w:r w:rsidRPr="00772778">
        <w:t>all of</w:t>
      </w:r>
      <w:proofErr w:type="gramEnd"/>
      <w:r w:rsidRPr="00772778">
        <w:t xml:space="preserve"> its other obligations under this or any other</w:t>
      </w:r>
      <w:r w:rsidRPr="00772778">
        <w:rPr>
          <w:spacing w:val="-1"/>
        </w:rPr>
        <w:t xml:space="preserve"> </w:t>
      </w:r>
      <w:r w:rsidRPr="00772778">
        <w:t>Act.</w:t>
      </w:r>
    </w:p>
    <w:p w14:paraId="431181A6" w14:textId="77777777" w:rsidR="005575B2" w:rsidRDefault="005575B2" w:rsidP="00772778">
      <w:pPr>
        <w:pStyle w:val="Heading4"/>
        <w:rPr>
          <w:rFonts w:eastAsia="Calibri"/>
        </w:rPr>
      </w:pPr>
    </w:p>
    <w:p w14:paraId="11A78444" w14:textId="77777777" w:rsidR="00B2406F" w:rsidRDefault="00B2406F" w:rsidP="00772778">
      <w:pPr>
        <w:pStyle w:val="Heading4"/>
        <w:rPr>
          <w:sz w:val="24"/>
        </w:rPr>
      </w:pPr>
      <w:r>
        <w:rPr>
          <w:rFonts w:eastAsia="Calibri"/>
        </w:rPr>
        <w:t>6 Staff</w:t>
      </w:r>
    </w:p>
    <w:p w14:paraId="6289D8B4" w14:textId="77777777" w:rsidR="00B2406F" w:rsidRPr="00772778" w:rsidRDefault="00B2406F" w:rsidP="00772778">
      <w:pPr>
        <w:pStyle w:val="NoSpacing"/>
      </w:pPr>
      <w:r w:rsidRPr="00772778">
        <w:t>Subject to Parts 8A and 31, a board may, in accordance with the State Sector Act 1988, appoint, suspend, or dismiss school staff.</w:t>
      </w:r>
    </w:p>
    <w:p w14:paraId="5D4B4D7A" w14:textId="77777777" w:rsidR="005575B2" w:rsidRDefault="005575B2" w:rsidP="005575B2">
      <w:pPr>
        <w:pStyle w:val="Heading4"/>
      </w:pPr>
    </w:p>
    <w:p w14:paraId="2CE8243A" w14:textId="77777777" w:rsidR="00B2406F" w:rsidRDefault="00B2406F" w:rsidP="005575B2">
      <w:pPr>
        <w:pStyle w:val="Heading4"/>
      </w:pPr>
      <w:r>
        <w:t xml:space="preserve">13 </w:t>
      </w:r>
      <w:r>
        <w:rPr>
          <w:rFonts w:eastAsia="Calibri"/>
        </w:rPr>
        <w:t>Board</w:t>
      </w:r>
      <w:r>
        <w:t xml:space="preserve"> </w:t>
      </w:r>
      <w:r>
        <w:rPr>
          <w:rFonts w:eastAsia="Calibri"/>
        </w:rPr>
        <w:t>has</w:t>
      </w:r>
      <w:r>
        <w:t xml:space="preserve"> </w:t>
      </w:r>
      <w:r>
        <w:rPr>
          <w:rFonts w:eastAsia="Calibri"/>
        </w:rPr>
        <w:t>complete</w:t>
      </w:r>
      <w:r>
        <w:t xml:space="preserve"> </w:t>
      </w:r>
      <w:r>
        <w:rPr>
          <w:rFonts w:eastAsia="Calibri"/>
        </w:rPr>
        <w:t>discretion</w:t>
      </w:r>
    </w:p>
    <w:p w14:paraId="60C295EB" w14:textId="77777777" w:rsidR="00B2406F" w:rsidRDefault="00B2406F" w:rsidP="005575B2">
      <w:pPr>
        <w:pStyle w:val="NoSpacing"/>
      </w:pPr>
      <w:r w:rsidRPr="005575B2">
        <w:t>A board has complete discretion to perform its functions and exercise its powers as it thinks fit, subject to this and any other enactment and the general law of New Zealand.</w:t>
      </w:r>
    </w:p>
    <w:p w14:paraId="23FE31D6" w14:textId="77777777" w:rsidR="005575B2" w:rsidRPr="005575B2" w:rsidRDefault="005575B2" w:rsidP="005575B2">
      <w:pPr>
        <w:pStyle w:val="NoSpacing"/>
      </w:pPr>
    </w:p>
    <w:p w14:paraId="69CAB3EF" w14:textId="77777777" w:rsidR="00B2406F" w:rsidRDefault="00B2406F" w:rsidP="005575B2">
      <w:pPr>
        <w:pStyle w:val="Heading4"/>
      </w:pPr>
      <w:r>
        <w:rPr>
          <w:rFonts w:eastAsia="Calibri"/>
        </w:rPr>
        <w:t>16 Cultural</w:t>
      </w:r>
      <w:r>
        <w:t xml:space="preserve"> </w:t>
      </w:r>
      <w:r>
        <w:rPr>
          <w:rFonts w:eastAsia="Calibri"/>
        </w:rPr>
        <w:t>diversity</w:t>
      </w:r>
      <w:r>
        <w:t xml:space="preserve">, </w:t>
      </w:r>
      <w:r>
        <w:rPr>
          <w:rFonts w:eastAsia="Calibri"/>
        </w:rPr>
        <w:t>Treaty</w:t>
      </w:r>
      <w:r>
        <w:t xml:space="preserve"> </w:t>
      </w:r>
      <w:r>
        <w:rPr>
          <w:rFonts w:eastAsia="Calibri"/>
        </w:rPr>
        <w:t>of</w:t>
      </w:r>
      <w:r>
        <w:t xml:space="preserve"> </w:t>
      </w:r>
      <w:r>
        <w:rPr>
          <w:rFonts w:eastAsia="Calibri"/>
        </w:rPr>
        <w:t>Waitangi</w:t>
      </w:r>
      <w:r>
        <w:t xml:space="preserve">, </w:t>
      </w:r>
      <w:r>
        <w:rPr>
          <w:rFonts w:eastAsia="Calibri"/>
        </w:rPr>
        <w:t>tikanga</w:t>
      </w:r>
      <w:r>
        <w:t xml:space="preserve"> </w:t>
      </w:r>
      <w:r>
        <w:rPr>
          <w:rFonts w:eastAsia="Calibri"/>
        </w:rPr>
        <w:t>Māori</w:t>
      </w:r>
      <w:r>
        <w:t xml:space="preserve">, </w:t>
      </w:r>
      <w:r>
        <w:rPr>
          <w:rFonts w:eastAsia="Calibri"/>
        </w:rPr>
        <w:t>and</w:t>
      </w:r>
      <w:r>
        <w:t xml:space="preserve"> </w:t>
      </w:r>
      <w:r>
        <w:rPr>
          <w:rFonts w:eastAsia="Calibri"/>
        </w:rPr>
        <w:t>te</w:t>
      </w:r>
      <w:r>
        <w:t xml:space="preserve"> </w:t>
      </w:r>
      <w:r>
        <w:rPr>
          <w:rFonts w:eastAsia="Calibri"/>
        </w:rPr>
        <w:t>reo</w:t>
      </w:r>
      <w:r>
        <w:rPr>
          <w:spacing w:val="-4"/>
        </w:rPr>
        <w:t xml:space="preserve"> </w:t>
      </w:r>
      <w:r>
        <w:rPr>
          <w:rFonts w:eastAsia="Calibri"/>
        </w:rPr>
        <w:t>Māori</w:t>
      </w:r>
    </w:p>
    <w:p w14:paraId="2065C5D2" w14:textId="77777777" w:rsidR="00B2406F" w:rsidRPr="005575B2" w:rsidRDefault="00B2406F" w:rsidP="005575B2">
      <w:pPr>
        <w:pStyle w:val="NoSpacing"/>
        <w:numPr>
          <w:ilvl w:val="0"/>
          <w:numId w:val="16"/>
        </w:numPr>
      </w:pPr>
      <w:r w:rsidRPr="005575B2">
        <w:t>A</w:t>
      </w:r>
      <w:r w:rsidRPr="005575B2">
        <w:rPr>
          <w:spacing w:val="-2"/>
        </w:rPr>
        <w:t xml:space="preserve"> </w:t>
      </w:r>
      <w:r w:rsidRPr="005575B2">
        <w:t>board</w:t>
      </w:r>
      <w:r w:rsidRPr="005575B2">
        <w:rPr>
          <w:spacing w:val="-2"/>
        </w:rPr>
        <w:t xml:space="preserve"> </w:t>
      </w:r>
      <w:r w:rsidRPr="005575B2">
        <w:t>must</w:t>
      </w:r>
      <w:r w:rsidRPr="005575B2">
        <w:rPr>
          <w:spacing w:val="-2"/>
        </w:rPr>
        <w:t xml:space="preserve"> </w:t>
      </w:r>
      <w:r w:rsidRPr="005575B2">
        <w:t>take</w:t>
      </w:r>
      <w:r w:rsidRPr="005575B2">
        <w:rPr>
          <w:spacing w:val="-2"/>
        </w:rPr>
        <w:t xml:space="preserve"> </w:t>
      </w:r>
      <w:r w:rsidRPr="005575B2">
        <w:t>all</w:t>
      </w:r>
      <w:r w:rsidRPr="005575B2">
        <w:rPr>
          <w:spacing w:val="-2"/>
        </w:rPr>
        <w:t xml:space="preserve"> </w:t>
      </w:r>
      <w:r w:rsidRPr="005575B2">
        <w:t>reasonable</w:t>
      </w:r>
      <w:r w:rsidRPr="005575B2">
        <w:rPr>
          <w:spacing w:val="-2"/>
        </w:rPr>
        <w:t xml:space="preserve"> </w:t>
      </w:r>
      <w:r w:rsidRPr="005575B2">
        <w:t>steps</w:t>
      </w:r>
      <w:r w:rsidRPr="005575B2">
        <w:rPr>
          <w:spacing w:val="-2"/>
        </w:rPr>
        <w:t xml:space="preserve"> </w:t>
      </w:r>
      <w:r w:rsidRPr="005575B2">
        <w:t>to</w:t>
      </w:r>
      <w:r w:rsidRPr="005575B2">
        <w:rPr>
          <w:spacing w:val="-2"/>
        </w:rPr>
        <w:t xml:space="preserve"> </w:t>
      </w:r>
      <w:r w:rsidRPr="005575B2">
        <w:t>ensure</w:t>
      </w:r>
      <w:r w:rsidRPr="005575B2">
        <w:rPr>
          <w:spacing w:val="-2"/>
        </w:rPr>
        <w:t xml:space="preserve"> </w:t>
      </w:r>
      <w:r w:rsidRPr="005575B2">
        <w:t>that</w:t>
      </w:r>
      <w:r w:rsidRPr="005575B2">
        <w:rPr>
          <w:spacing w:val="-2"/>
        </w:rPr>
        <w:t xml:space="preserve"> </w:t>
      </w:r>
      <w:r w:rsidRPr="005575B2">
        <w:t>the</w:t>
      </w:r>
      <w:r w:rsidRPr="005575B2">
        <w:rPr>
          <w:spacing w:val="-2"/>
        </w:rPr>
        <w:t xml:space="preserve"> </w:t>
      </w:r>
      <w:r w:rsidRPr="005575B2">
        <w:t>policies</w:t>
      </w:r>
      <w:r w:rsidRPr="005575B2">
        <w:rPr>
          <w:spacing w:val="-2"/>
        </w:rPr>
        <w:t xml:space="preserve"> </w:t>
      </w:r>
      <w:r w:rsidRPr="005575B2">
        <w:t>and</w:t>
      </w:r>
      <w:r w:rsidRPr="005575B2">
        <w:rPr>
          <w:spacing w:val="-2"/>
        </w:rPr>
        <w:t xml:space="preserve"> </w:t>
      </w:r>
      <w:r w:rsidRPr="005575B2">
        <w:t>practices</w:t>
      </w:r>
      <w:r w:rsidRPr="005575B2">
        <w:rPr>
          <w:spacing w:val="-2"/>
        </w:rPr>
        <w:t xml:space="preserve"> </w:t>
      </w:r>
      <w:r w:rsidRPr="005575B2">
        <w:t>for</w:t>
      </w:r>
      <w:r w:rsidRPr="005575B2">
        <w:rPr>
          <w:spacing w:val="-2"/>
        </w:rPr>
        <w:t xml:space="preserve"> </w:t>
      </w:r>
      <w:r w:rsidRPr="005575B2">
        <w:t>its</w:t>
      </w:r>
      <w:r w:rsidRPr="005575B2">
        <w:rPr>
          <w:spacing w:val="-2"/>
        </w:rPr>
        <w:t xml:space="preserve"> </w:t>
      </w:r>
      <w:r w:rsidRPr="005575B2">
        <w:t>school</w:t>
      </w:r>
      <w:r w:rsidRPr="005575B2">
        <w:rPr>
          <w:spacing w:val="-2"/>
        </w:rPr>
        <w:t xml:space="preserve"> </w:t>
      </w:r>
      <w:r w:rsidRPr="005575B2">
        <w:t>reflect</w:t>
      </w:r>
      <w:r w:rsidRPr="005575B2">
        <w:rPr>
          <w:spacing w:val="-2"/>
        </w:rPr>
        <w:t xml:space="preserve"> </w:t>
      </w:r>
      <w:r w:rsidRPr="005575B2">
        <w:t>New</w:t>
      </w:r>
      <w:r w:rsidRPr="005575B2">
        <w:rPr>
          <w:spacing w:val="-2"/>
        </w:rPr>
        <w:t xml:space="preserve"> </w:t>
      </w:r>
      <w:r w:rsidRPr="005575B2">
        <w:t>Zealand’s</w:t>
      </w:r>
      <w:r w:rsidRPr="005575B2">
        <w:rPr>
          <w:spacing w:val="-2"/>
        </w:rPr>
        <w:t xml:space="preserve"> </w:t>
      </w:r>
      <w:r w:rsidRPr="005575B2">
        <w:t>cultural</w:t>
      </w:r>
      <w:r w:rsidRPr="005575B2">
        <w:rPr>
          <w:spacing w:val="-2"/>
        </w:rPr>
        <w:t xml:space="preserve"> </w:t>
      </w:r>
      <w:r w:rsidRPr="005575B2">
        <w:t>diversity</w:t>
      </w:r>
      <w:r w:rsidRPr="005575B2">
        <w:rPr>
          <w:spacing w:val="-2"/>
        </w:rPr>
        <w:t xml:space="preserve"> </w:t>
      </w:r>
      <w:r w:rsidRPr="005575B2">
        <w:t>and</w:t>
      </w:r>
      <w:r w:rsidRPr="005575B2">
        <w:rPr>
          <w:spacing w:val="-2"/>
        </w:rPr>
        <w:t xml:space="preserve"> </w:t>
      </w:r>
      <w:r w:rsidRPr="005575B2">
        <w:t>the unique position of the Māori</w:t>
      </w:r>
      <w:r w:rsidRPr="005575B2">
        <w:rPr>
          <w:spacing w:val="-1"/>
        </w:rPr>
        <w:t xml:space="preserve"> </w:t>
      </w:r>
      <w:r w:rsidRPr="005575B2">
        <w:t>culture.</w:t>
      </w:r>
    </w:p>
    <w:p w14:paraId="7B62D5A3" w14:textId="77777777" w:rsidR="00B2406F" w:rsidRPr="005575B2" w:rsidRDefault="00B2406F" w:rsidP="005575B2">
      <w:pPr>
        <w:pStyle w:val="NoSpacing"/>
        <w:numPr>
          <w:ilvl w:val="0"/>
          <w:numId w:val="16"/>
        </w:numPr>
      </w:pPr>
      <w:r w:rsidRPr="005575B2">
        <w:t>In</w:t>
      </w:r>
      <w:r w:rsidRPr="005575B2">
        <w:rPr>
          <w:spacing w:val="-1"/>
        </w:rPr>
        <w:t xml:space="preserve"> </w:t>
      </w:r>
      <w:r w:rsidRPr="005575B2">
        <w:t>performing</w:t>
      </w:r>
      <w:r w:rsidRPr="005575B2">
        <w:rPr>
          <w:spacing w:val="-1"/>
        </w:rPr>
        <w:t xml:space="preserve"> </w:t>
      </w:r>
      <w:r w:rsidRPr="005575B2">
        <w:t>its</w:t>
      </w:r>
      <w:r w:rsidRPr="005575B2">
        <w:rPr>
          <w:spacing w:val="-1"/>
        </w:rPr>
        <w:t xml:space="preserve"> </w:t>
      </w:r>
      <w:r w:rsidRPr="005575B2">
        <w:t>functions</w:t>
      </w:r>
      <w:r w:rsidRPr="005575B2">
        <w:rPr>
          <w:spacing w:val="-1"/>
        </w:rPr>
        <w:t xml:space="preserve"> </w:t>
      </w:r>
      <w:r w:rsidRPr="005575B2">
        <w:t>and</w:t>
      </w:r>
      <w:r w:rsidRPr="005575B2">
        <w:rPr>
          <w:spacing w:val="-1"/>
        </w:rPr>
        <w:t xml:space="preserve"> </w:t>
      </w:r>
      <w:r w:rsidRPr="005575B2">
        <w:t>exercising</w:t>
      </w:r>
      <w:r w:rsidRPr="005575B2">
        <w:rPr>
          <w:spacing w:val="-1"/>
        </w:rPr>
        <w:t xml:space="preserve"> </w:t>
      </w:r>
      <w:r w:rsidRPr="005575B2">
        <w:t>its</w:t>
      </w:r>
      <w:r w:rsidRPr="005575B2">
        <w:rPr>
          <w:spacing w:val="-1"/>
        </w:rPr>
        <w:t xml:space="preserve"> </w:t>
      </w:r>
      <w:r w:rsidRPr="005575B2">
        <w:t>powers,</w:t>
      </w:r>
      <w:r w:rsidRPr="005575B2">
        <w:rPr>
          <w:spacing w:val="-1"/>
        </w:rPr>
        <w:t xml:space="preserve"> </w:t>
      </w:r>
      <w:r w:rsidRPr="005575B2">
        <w:t>a</w:t>
      </w:r>
      <w:r w:rsidRPr="005575B2">
        <w:rPr>
          <w:spacing w:val="-1"/>
        </w:rPr>
        <w:t xml:space="preserve"> </w:t>
      </w:r>
      <w:r w:rsidRPr="005575B2">
        <w:t>board</w:t>
      </w:r>
      <w:r w:rsidRPr="005575B2">
        <w:rPr>
          <w:spacing w:val="-1"/>
        </w:rPr>
        <w:t xml:space="preserve"> </w:t>
      </w:r>
      <w:r w:rsidRPr="005575B2">
        <w:t>must</w:t>
      </w:r>
      <w:r w:rsidRPr="005575B2">
        <w:rPr>
          <w:spacing w:val="-1"/>
        </w:rPr>
        <w:t xml:space="preserve"> </w:t>
      </w:r>
      <w:r w:rsidRPr="005575B2">
        <w:t>take</w:t>
      </w:r>
      <w:r w:rsidRPr="005575B2">
        <w:rPr>
          <w:spacing w:val="-1"/>
        </w:rPr>
        <w:t xml:space="preserve"> </w:t>
      </w:r>
      <w:r w:rsidRPr="005575B2">
        <w:t>all</w:t>
      </w:r>
      <w:r w:rsidRPr="005575B2">
        <w:rPr>
          <w:spacing w:val="-1"/>
        </w:rPr>
        <w:t xml:space="preserve"> </w:t>
      </w:r>
      <w:r w:rsidRPr="005575B2">
        <w:t>reasonable</w:t>
      </w:r>
      <w:r w:rsidRPr="005575B2">
        <w:rPr>
          <w:spacing w:val="-1"/>
        </w:rPr>
        <w:t xml:space="preserve"> </w:t>
      </w:r>
      <w:r w:rsidRPr="005575B2">
        <w:t>steps</w:t>
      </w:r>
      <w:r w:rsidRPr="005575B2">
        <w:rPr>
          <w:spacing w:val="-1"/>
        </w:rPr>
        <w:t xml:space="preserve"> </w:t>
      </w:r>
      <w:r w:rsidRPr="005575B2">
        <w:t>to</w:t>
      </w:r>
      <w:r w:rsidRPr="005575B2">
        <w:rPr>
          <w:spacing w:val="-1"/>
        </w:rPr>
        <w:t xml:space="preserve"> </w:t>
      </w:r>
      <w:r w:rsidRPr="005575B2">
        <w:t>act</w:t>
      </w:r>
      <w:r w:rsidRPr="005575B2">
        <w:rPr>
          <w:spacing w:val="-1"/>
        </w:rPr>
        <w:t xml:space="preserve"> </w:t>
      </w:r>
      <w:r w:rsidRPr="005575B2">
        <w:t>in</w:t>
      </w:r>
      <w:r w:rsidRPr="005575B2">
        <w:rPr>
          <w:spacing w:val="-1"/>
        </w:rPr>
        <w:t xml:space="preserve"> </w:t>
      </w:r>
      <w:r w:rsidRPr="005575B2">
        <w:t>a</w:t>
      </w:r>
      <w:r w:rsidRPr="005575B2">
        <w:rPr>
          <w:spacing w:val="-1"/>
        </w:rPr>
        <w:t xml:space="preserve"> </w:t>
      </w:r>
      <w:r w:rsidRPr="005575B2">
        <w:t>manner</w:t>
      </w:r>
      <w:r w:rsidRPr="005575B2">
        <w:rPr>
          <w:spacing w:val="-1"/>
        </w:rPr>
        <w:t xml:space="preserve"> </w:t>
      </w:r>
      <w:r w:rsidRPr="005575B2">
        <w:t>that</w:t>
      </w:r>
      <w:r w:rsidRPr="005575B2">
        <w:rPr>
          <w:spacing w:val="-1"/>
        </w:rPr>
        <w:t xml:space="preserve"> </w:t>
      </w:r>
      <w:r w:rsidRPr="005575B2">
        <w:t>is</w:t>
      </w:r>
      <w:r w:rsidRPr="005575B2">
        <w:rPr>
          <w:spacing w:val="-1"/>
        </w:rPr>
        <w:t xml:space="preserve"> </w:t>
      </w:r>
      <w:r w:rsidRPr="005575B2">
        <w:t>consistent</w:t>
      </w:r>
      <w:r w:rsidRPr="005575B2">
        <w:rPr>
          <w:spacing w:val="-1"/>
        </w:rPr>
        <w:t xml:space="preserve"> </w:t>
      </w:r>
      <w:r w:rsidRPr="005575B2">
        <w:t>with</w:t>
      </w:r>
      <w:r w:rsidRPr="005575B2">
        <w:rPr>
          <w:spacing w:val="-1"/>
        </w:rPr>
        <w:t xml:space="preserve"> </w:t>
      </w:r>
      <w:r w:rsidRPr="005575B2">
        <w:t>the principles of the Treaty of</w:t>
      </w:r>
      <w:r w:rsidRPr="005575B2">
        <w:rPr>
          <w:spacing w:val="-1"/>
        </w:rPr>
        <w:t xml:space="preserve"> </w:t>
      </w:r>
      <w:r w:rsidRPr="005575B2">
        <w:t>Waitangi.</w:t>
      </w:r>
    </w:p>
    <w:p w14:paraId="19AAD1F1" w14:textId="77777777" w:rsidR="00B2406F" w:rsidRPr="005575B2" w:rsidRDefault="00B2406F" w:rsidP="005575B2">
      <w:pPr>
        <w:pStyle w:val="NoSpacing"/>
        <w:numPr>
          <w:ilvl w:val="0"/>
          <w:numId w:val="16"/>
        </w:numPr>
      </w:pPr>
      <w:r w:rsidRPr="005575B2">
        <w:t>Without limiting subclauses (1) and (2), a board must take all reasonable steps to provide instruction in tikanga Māori (Māori culture) and te</w:t>
      </w:r>
      <w:r w:rsidRPr="005575B2">
        <w:rPr>
          <w:spacing w:val="-18"/>
        </w:rPr>
        <w:t xml:space="preserve"> </w:t>
      </w:r>
      <w:r w:rsidRPr="005575B2">
        <w:t>reo Māori (the Māori language) for full-time students whose parents ask for</w:t>
      </w:r>
      <w:r w:rsidRPr="005575B2">
        <w:rPr>
          <w:spacing w:val="-2"/>
        </w:rPr>
        <w:t xml:space="preserve"> </w:t>
      </w:r>
      <w:r w:rsidRPr="005575B2">
        <w:t>it.</w:t>
      </w:r>
    </w:p>
    <w:p w14:paraId="4944CA9D" w14:textId="77777777" w:rsidR="005575B2" w:rsidRDefault="005575B2" w:rsidP="005575B2">
      <w:pPr>
        <w:pStyle w:val="Heading4"/>
        <w:rPr>
          <w:rFonts w:eastAsia="Calibri"/>
        </w:rPr>
      </w:pPr>
    </w:p>
    <w:p w14:paraId="6F1DCE7C" w14:textId="77777777" w:rsidR="00B2406F" w:rsidRDefault="00B2406F" w:rsidP="005575B2">
      <w:pPr>
        <w:pStyle w:val="Heading4"/>
        <w:rPr>
          <w:sz w:val="24"/>
        </w:rPr>
      </w:pPr>
      <w:r>
        <w:rPr>
          <w:rFonts w:eastAsia="Calibri"/>
        </w:rPr>
        <w:t>17 Delegations</w:t>
      </w:r>
    </w:p>
    <w:p w14:paraId="65876900" w14:textId="77777777" w:rsidR="00B2406F" w:rsidRDefault="00B2406F" w:rsidP="005575B2">
      <w:pPr>
        <w:pStyle w:val="NoSpacing"/>
        <w:numPr>
          <w:ilvl w:val="0"/>
          <w:numId w:val="17"/>
        </w:numPr>
      </w:pPr>
      <w:r>
        <w:t>A</w:t>
      </w:r>
      <w:r>
        <w:rPr>
          <w:spacing w:val="-2"/>
        </w:rPr>
        <w:t xml:space="preserve"> </w:t>
      </w:r>
      <w:r>
        <w:t>board</w:t>
      </w:r>
      <w:r>
        <w:rPr>
          <w:spacing w:val="-2"/>
        </w:rPr>
        <w:t xml:space="preserve"> </w:t>
      </w:r>
      <w:r>
        <w:t>may</w:t>
      </w:r>
      <w:r>
        <w:rPr>
          <w:spacing w:val="-2"/>
        </w:rPr>
        <w:t xml:space="preserve"> </w:t>
      </w:r>
      <w:r>
        <w:t>delegate</w:t>
      </w:r>
      <w:r>
        <w:rPr>
          <w:spacing w:val="-2"/>
        </w:rPr>
        <w:t xml:space="preserve"> </w:t>
      </w:r>
      <w:r>
        <w:t>any</w:t>
      </w:r>
      <w:r>
        <w:rPr>
          <w:spacing w:val="-2"/>
        </w:rPr>
        <w:t xml:space="preserve"> </w:t>
      </w:r>
      <w:r>
        <w:t>of</w:t>
      </w:r>
      <w:r>
        <w:rPr>
          <w:spacing w:val="-2"/>
        </w:rPr>
        <w:t xml:space="preserve"> </w:t>
      </w:r>
      <w:r>
        <w:t>the</w:t>
      </w:r>
      <w:r>
        <w:rPr>
          <w:spacing w:val="-2"/>
        </w:rPr>
        <w:t xml:space="preserve"> </w:t>
      </w:r>
      <w:r>
        <w:t>functions</w:t>
      </w:r>
      <w:r>
        <w:rPr>
          <w:spacing w:val="-2"/>
        </w:rPr>
        <w:t xml:space="preserve"> </w:t>
      </w:r>
      <w:r>
        <w:t>or</w:t>
      </w:r>
      <w:r>
        <w:rPr>
          <w:spacing w:val="-2"/>
        </w:rPr>
        <w:t xml:space="preserve"> </w:t>
      </w:r>
      <w:r>
        <w:t>powers</w:t>
      </w:r>
      <w:r>
        <w:rPr>
          <w:spacing w:val="-2"/>
        </w:rPr>
        <w:t xml:space="preserve"> </w:t>
      </w:r>
      <w:r>
        <w:t>of</w:t>
      </w:r>
      <w:r>
        <w:rPr>
          <w:spacing w:val="-2"/>
        </w:rPr>
        <w:t xml:space="preserve"> </w:t>
      </w:r>
      <w:r>
        <w:t>the</w:t>
      </w:r>
      <w:r>
        <w:rPr>
          <w:spacing w:val="-2"/>
        </w:rPr>
        <w:t xml:space="preserve"> </w:t>
      </w:r>
      <w:r>
        <w:t>board</w:t>
      </w:r>
      <w:r>
        <w:rPr>
          <w:spacing w:val="-2"/>
        </w:rPr>
        <w:t xml:space="preserve"> </w:t>
      </w:r>
      <w:r>
        <w:t>or</w:t>
      </w:r>
      <w:r>
        <w:rPr>
          <w:spacing w:val="-2"/>
        </w:rPr>
        <w:t xml:space="preserve"> </w:t>
      </w:r>
      <w:r>
        <w:t>the</w:t>
      </w:r>
      <w:r>
        <w:rPr>
          <w:spacing w:val="-2"/>
        </w:rPr>
        <w:t xml:space="preserve"> </w:t>
      </w:r>
      <w:r>
        <w:t>trustees,</w:t>
      </w:r>
      <w:r>
        <w:rPr>
          <w:spacing w:val="-2"/>
        </w:rPr>
        <w:t xml:space="preserve"> </w:t>
      </w:r>
      <w:r>
        <w:t>either</w:t>
      </w:r>
      <w:r>
        <w:rPr>
          <w:spacing w:val="-2"/>
        </w:rPr>
        <w:t xml:space="preserve"> </w:t>
      </w:r>
      <w:r>
        <w:t>generally</w:t>
      </w:r>
      <w:r>
        <w:rPr>
          <w:spacing w:val="-2"/>
        </w:rPr>
        <w:t xml:space="preserve"> </w:t>
      </w:r>
      <w:r>
        <w:t>or</w:t>
      </w:r>
      <w:r>
        <w:rPr>
          <w:spacing w:val="-2"/>
        </w:rPr>
        <w:t xml:space="preserve"> </w:t>
      </w:r>
      <w:r>
        <w:t>specifically,</w:t>
      </w:r>
      <w:r>
        <w:rPr>
          <w:spacing w:val="-2"/>
        </w:rPr>
        <w:t xml:space="preserve"> </w:t>
      </w:r>
      <w:r>
        <w:t>to</w:t>
      </w:r>
      <w:r>
        <w:rPr>
          <w:spacing w:val="-2"/>
        </w:rPr>
        <w:t xml:space="preserve"> </w:t>
      </w:r>
      <w:r>
        <w:t>any</w:t>
      </w:r>
      <w:r>
        <w:rPr>
          <w:spacing w:val="-2"/>
        </w:rPr>
        <w:t xml:space="preserve"> </w:t>
      </w:r>
      <w:r>
        <w:t>of</w:t>
      </w:r>
      <w:r>
        <w:rPr>
          <w:spacing w:val="-2"/>
        </w:rPr>
        <w:t xml:space="preserve"> </w:t>
      </w:r>
      <w:r>
        <w:t>the</w:t>
      </w:r>
      <w:r>
        <w:rPr>
          <w:spacing w:val="-2"/>
        </w:rPr>
        <w:t xml:space="preserve"> </w:t>
      </w:r>
      <w:r>
        <w:t>following</w:t>
      </w:r>
      <w:r>
        <w:rPr>
          <w:spacing w:val="-2"/>
        </w:rPr>
        <w:t xml:space="preserve"> </w:t>
      </w:r>
      <w:r>
        <w:t>persons by resolution and written notice to the person or</w:t>
      </w:r>
      <w:r>
        <w:rPr>
          <w:spacing w:val="-1"/>
        </w:rPr>
        <w:t xml:space="preserve"> </w:t>
      </w:r>
      <w:r>
        <w:t>persons:</w:t>
      </w:r>
    </w:p>
    <w:p w14:paraId="16D40BE1" w14:textId="77777777" w:rsidR="00B2406F" w:rsidRDefault="00B2406F" w:rsidP="005575B2">
      <w:pPr>
        <w:pStyle w:val="NoSpacing"/>
        <w:numPr>
          <w:ilvl w:val="0"/>
          <w:numId w:val="20"/>
        </w:numPr>
      </w:pPr>
      <w:r>
        <w:t>a trustee or</w:t>
      </w:r>
      <w:r>
        <w:rPr>
          <w:spacing w:val="-1"/>
        </w:rPr>
        <w:t xml:space="preserve"> </w:t>
      </w:r>
      <w:r>
        <w:t>trustees:</w:t>
      </w:r>
    </w:p>
    <w:p w14:paraId="5FD87946" w14:textId="77777777" w:rsidR="00B2406F" w:rsidRDefault="00B2406F" w:rsidP="005575B2">
      <w:pPr>
        <w:pStyle w:val="NoSpacing"/>
        <w:numPr>
          <w:ilvl w:val="0"/>
          <w:numId w:val="20"/>
        </w:numPr>
      </w:pPr>
      <w:r>
        <w:t>the principal or any other employee or employees, or office holder or holders of the</w:t>
      </w:r>
      <w:r>
        <w:rPr>
          <w:spacing w:val="-2"/>
        </w:rPr>
        <w:t xml:space="preserve"> </w:t>
      </w:r>
      <w:r>
        <w:t>board:</w:t>
      </w:r>
    </w:p>
    <w:p w14:paraId="0EB157A9" w14:textId="77777777" w:rsidR="00B2406F" w:rsidRDefault="00B2406F" w:rsidP="005575B2">
      <w:pPr>
        <w:pStyle w:val="NoSpacing"/>
        <w:numPr>
          <w:ilvl w:val="0"/>
          <w:numId w:val="20"/>
        </w:numPr>
      </w:pPr>
      <w:r>
        <w:t>a committee consisting of at least 2 persons at least 1 of whom is a</w:t>
      </w:r>
      <w:r>
        <w:rPr>
          <w:spacing w:val="-2"/>
        </w:rPr>
        <w:t xml:space="preserve"> </w:t>
      </w:r>
      <w:r>
        <w:t>trustee:</w:t>
      </w:r>
    </w:p>
    <w:p w14:paraId="447CB115" w14:textId="77777777" w:rsidR="00B2406F" w:rsidRDefault="00B2406F" w:rsidP="005575B2">
      <w:pPr>
        <w:pStyle w:val="NoSpacing"/>
        <w:numPr>
          <w:ilvl w:val="0"/>
          <w:numId w:val="20"/>
        </w:numPr>
      </w:pPr>
      <w:r>
        <w:t>any other person or persons approved by the</w:t>
      </w:r>
      <w:r>
        <w:rPr>
          <w:spacing w:val="-1"/>
        </w:rPr>
        <w:t xml:space="preserve"> </w:t>
      </w:r>
      <w:r>
        <w:t>Minister:</w:t>
      </w:r>
    </w:p>
    <w:p w14:paraId="7EA23F6D" w14:textId="77777777" w:rsidR="00B2406F" w:rsidRDefault="00B2406F" w:rsidP="005575B2">
      <w:pPr>
        <w:pStyle w:val="NoSpacing"/>
        <w:numPr>
          <w:ilvl w:val="0"/>
          <w:numId w:val="20"/>
        </w:numPr>
      </w:pPr>
      <w:r>
        <w:t>any class of persons that comprises any of the persons listed in paragraphs (a) to</w:t>
      </w:r>
      <w:r>
        <w:rPr>
          <w:spacing w:val="-2"/>
        </w:rPr>
        <w:t xml:space="preserve"> </w:t>
      </w:r>
      <w:r>
        <w:t>(d).</w:t>
      </w:r>
    </w:p>
    <w:p w14:paraId="31683FC5" w14:textId="77777777" w:rsidR="00B2406F" w:rsidRDefault="00B2406F" w:rsidP="005575B2">
      <w:pPr>
        <w:pStyle w:val="NoSpacing"/>
        <w:numPr>
          <w:ilvl w:val="0"/>
          <w:numId w:val="17"/>
        </w:numPr>
      </w:pPr>
      <w:r>
        <w:t>Subclause (1) does not apply to any functions or powers specified in this Act as not being capable of</w:t>
      </w:r>
      <w:r>
        <w:rPr>
          <w:spacing w:val="-3"/>
        </w:rPr>
        <w:t xml:space="preserve"> </w:t>
      </w:r>
      <w:r>
        <w:t>delegation.</w:t>
      </w:r>
    </w:p>
    <w:p w14:paraId="0763361F" w14:textId="77777777" w:rsidR="00B2406F" w:rsidRDefault="00B2406F" w:rsidP="005575B2">
      <w:pPr>
        <w:pStyle w:val="NoSpacing"/>
        <w:numPr>
          <w:ilvl w:val="0"/>
          <w:numId w:val="17"/>
        </w:numPr>
      </w:pPr>
      <w:r>
        <w:t>The board must not delegate the general power of</w:t>
      </w:r>
      <w:r>
        <w:rPr>
          <w:spacing w:val="-9"/>
        </w:rPr>
        <w:t xml:space="preserve"> </w:t>
      </w:r>
      <w:r>
        <w:t>delegation.</w:t>
      </w:r>
    </w:p>
    <w:p w14:paraId="041FF6AB" w14:textId="77777777" w:rsidR="00B2406F" w:rsidRDefault="00B2406F" w:rsidP="005575B2">
      <w:pPr>
        <w:pStyle w:val="NoSpacing"/>
        <w:numPr>
          <w:ilvl w:val="0"/>
          <w:numId w:val="17"/>
        </w:numPr>
      </w:pPr>
      <w:r>
        <w:t>A delegate to whom any function or power is delegated</w:t>
      </w:r>
      <w:r>
        <w:rPr>
          <w:spacing w:val="-14"/>
        </w:rPr>
        <w:t xml:space="preserve"> </w:t>
      </w:r>
      <w:r>
        <w:t>may,—</w:t>
      </w:r>
    </w:p>
    <w:p w14:paraId="5946A276" w14:textId="77777777" w:rsidR="00B2406F" w:rsidRDefault="00B2406F" w:rsidP="005575B2">
      <w:pPr>
        <w:pStyle w:val="NoSpacing"/>
        <w:numPr>
          <w:ilvl w:val="0"/>
          <w:numId w:val="21"/>
        </w:numPr>
        <w:tabs>
          <w:tab w:val="left" w:pos="851"/>
        </w:tabs>
        <w:ind w:hanging="153"/>
      </w:pPr>
      <w:r>
        <w:t>unless the delegation provides otherwise, perform the function or exercise the power in the same manner, subject to the same</w:t>
      </w:r>
      <w:r>
        <w:rPr>
          <w:spacing w:val="-23"/>
        </w:rPr>
        <w:t xml:space="preserve"> </w:t>
      </w:r>
      <w:r>
        <w:t>restrictions, and with the same effect as if the delegate were the board or the trustees;</w:t>
      </w:r>
      <w:r>
        <w:rPr>
          <w:spacing w:val="-1"/>
        </w:rPr>
        <w:t xml:space="preserve"> </w:t>
      </w:r>
      <w:r>
        <w:t>and</w:t>
      </w:r>
    </w:p>
    <w:p w14:paraId="05D36662" w14:textId="77777777" w:rsidR="00B2406F" w:rsidRDefault="00B2406F" w:rsidP="005575B2">
      <w:pPr>
        <w:pStyle w:val="NoSpacing"/>
        <w:numPr>
          <w:ilvl w:val="0"/>
          <w:numId w:val="21"/>
        </w:numPr>
        <w:tabs>
          <w:tab w:val="left" w:pos="851"/>
        </w:tabs>
        <w:ind w:hanging="153"/>
      </w:pPr>
      <w:r>
        <w:t>delegate the function or power</w:t>
      </w:r>
      <w:r>
        <w:rPr>
          <w:spacing w:val="-1"/>
        </w:rPr>
        <w:t xml:space="preserve"> </w:t>
      </w:r>
      <w:r>
        <w:t>only—</w:t>
      </w:r>
    </w:p>
    <w:p w14:paraId="1A0B6517" w14:textId="77777777" w:rsidR="00B2406F" w:rsidRDefault="00B2406F" w:rsidP="001179F3">
      <w:pPr>
        <w:pStyle w:val="NoSpacing"/>
        <w:numPr>
          <w:ilvl w:val="0"/>
          <w:numId w:val="22"/>
        </w:numPr>
        <w:ind w:left="1134"/>
      </w:pPr>
      <w:r>
        <w:t>with the prior written consent of the board;</w:t>
      </w:r>
      <w:r>
        <w:rPr>
          <w:spacing w:val="-1"/>
        </w:rPr>
        <w:t xml:space="preserve"> </w:t>
      </w:r>
      <w:r>
        <w:t>and</w:t>
      </w:r>
    </w:p>
    <w:p w14:paraId="4231F2A1" w14:textId="77777777" w:rsidR="00B2406F" w:rsidRDefault="00B2406F" w:rsidP="001179F3">
      <w:pPr>
        <w:pStyle w:val="NoSpacing"/>
        <w:numPr>
          <w:ilvl w:val="0"/>
          <w:numId w:val="22"/>
        </w:numPr>
        <w:ind w:left="1134"/>
      </w:pPr>
      <w:r>
        <w:t>(ii)subject to the same restrictions, and with the same effect, as if the subdelegate were the</w:t>
      </w:r>
      <w:r>
        <w:rPr>
          <w:spacing w:val="-1"/>
        </w:rPr>
        <w:t xml:space="preserve"> </w:t>
      </w:r>
      <w:r>
        <w:t>delegate.</w:t>
      </w:r>
    </w:p>
    <w:p w14:paraId="1135EB13" w14:textId="77777777" w:rsidR="00B2406F" w:rsidRDefault="00B2406F" w:rsidP="005575B2">
      <w:pPr>
        <w:pStyle w:val="NoSpacing"/>
        <w:numPr>
          <w:ilvl w:val="0"/>
          <w:numId w:val="17"/>
        </w:numPr>
      </w:pPr>
      <w:r>
        <w:lastRenderedPageBreak/>
        <w:t>A delegate who purports to perform a function or exercise a power under a</w:t>
      </w:r>
      <w:r>
        <w:rPr>
          <w:spacing w:val="-1"/>
        </w:rPr>
        <w:t xml:space="preserve"> </w:t>
      </w:r>
      <w:r>
        <w:t>delegation—</w:t>
      </w:r>
    </w:p>
    <w:p w14:paraId="5C87F08C" w14:textId="77777777" w:rsidR="00B2406F" w:rsidRDefault="00B2406F" w:rsidP="001179F3">
      <w:pPr>
        <w:pStyle w:val="NoSpacing"/>
        <w:numPr>
          <w:ilvl w:val="0"/>
          <w:numId w:val="24"/>
        </w:numPr>
        <w:tabs>
          <w:tab w:val="left" w:pos="851"/>
        </w:tabs>
        <w:ind w:hanging="153"/>
      </w:pPr>
      <w:r>
        <w:t>is, in the absence of proof to the contrary, presumed to do so in accordance with the terms of that delegation;</w:t>
      </w:r>
      <w:r>
        <w:rPr>
          <w:spacing w:val="-2"/>
        </w:rPr>
        <w:t xml:space="preserve"> </w:t>
      </w:r>
      <w:r>
        <w:t>and</w:t>
      </w:r>
    </w:p>
    <w:p w14:paraId="662410FC" w14:textId="77777777" w:rsidR="00B2406F" w:rsidRDefault="00B2406F" w:rsidP="001179F3">
      <w:pPr>
        <w:pStyle w:val="NoSpacing"/>
        <w:numPr>
          <w:ilvl w:val="0"/>
          <w:numId w:val="24"/>
        </w:numPr>
        <w:tabs>
          <w:tab w:val="left" w:pos="851"/>
        </w:tabs>
        <w:ind w:hanging="153"/>
      </w:pPr>
      <w:r>
        <w:t>must produce evidence of his or her authority to do so if reasonably requested to do</w:t>
      </w:r>
      <w:r>
        <w:rPr>
          <w:spacing w:val="-1"/>
        </w:rPr>
        <w:t xml:space="preserve"> </w:t>
      </w:r>
      <w:r>
        <w:t>so.</w:t>
      </w:r>
    </w:p>
    <w:p w14:paraId="10AC837E" w14:textId="77777777" w:rsidR="001179F3" w:rsidRDefault="001179F3" w:rsidP="001179F3">
      <w:pPr>
        <w:pStyle w:val="NoSpacing"/>
        <w:numPr>
          <w:ilvl w:val="0"/>
          <w:numId w:val="17"/>
        </w:numPr>
        <w:tabs>
          <w:tab w:val="left" w:pos="851"/>
        </w:tabs>
      </w:pPr>
      <w:r>
        <w:t>No delegation in accordance with this Act -</w:t>
      </w:r>
    </w:p>
    <w:p w14:paraId="453D3A7C" w14:textId="77777777" w:rsidR="00B2406F" w:rsidRPr="001179F3" w:rsidRDefault="00B2406F" w:rsidP="001179F3">
      <w:pPr>
        <w:pStyle w:val="NoSpacing"/>
        <w:numPr>
          <w:ilvl w:val="0"/>
          <w:numId w:val="25"/>
        </w:numPr>
        <w:tabs>
          <w:tab w:val="left" w:pos="851"/>
        </w:tabs>
        <w:ind w:hanging="153"/>
      </w:pPr>
      <w:r w:rsidRPr="001179F3">
        <w:t>affects or prevents the performance of any function or the exercise of any power by the board or the trustees;</w:t>
      </w:r>
      <w:r w:rsidRPr="001179F3">
        <w:rPr>
          <w:spacing w:val="-4"/>
        </w:rPr>
        <w:t xml:space="preserve"> </w:t>
      </w:r>
      <w:r w:rsidRPr="001179F3">
        <w:t>or</w:t>
      </w:r>
    </w:p>
    <w:p w14:paraId="58F98C59" w14:textId="77777777" w:rsidR="00B2406F" w:rsidRPr="001179F3" w:rsidRDefault="00B2406F" w:rsidP="001179F3">
      <w:pPr>
        <w:pStyle w:val="NoSpacing"/>
        <w:numPr>
          <w:ilvl w:val="0"/>
          <w:numId w:val="25"/>
        </w:numPr>
        <w:tabs>
          <w:tab w:val="left" w:pos="851"/>
        </w:tabs>
        <w:ind w:hanging="153"/>
      </w:pPr>
      <w:r w:rsidRPr="001179F3">
        <w:t>affects the responsibility of the board for the actions of any delegate acting under the delegation; or</w:t>
      </w:r>
    </w:p>
    <w:p w14:paraId="788A2259" w14:textId="77777777" w:rsidR="00B2406F" w:rsidRPr="001179F3" w:rsidRDefault="00B2406F" w:rsidP="001179F3">
      <w:pPr>
        <w:pStyle w:val="NoSpacing"/>
        <w:numPr>
          <w:ilvl w:val="0"/>
          <w:numId w:val="25"/>
        </w:numPr>
        <w:tabs>
          <w:tab w:val="left" w:pos="851"/>
        </w:tabs>
        <w:ind w:hanging="153"/>
      </w:pPr>
      <w:r w:rsidRPr="001179F3">
        <w:t>is affected by any change in the membership of the board or of any committee or class of</w:t>
      </w:r>
      <w:r w:rsidRPr="001179F3">
        <w:rPr>
          <w:spacing w:val="-3"/>
        </w:rPr>
        <w:t xml:space="preserve"> </w:t>
      </w:r>
      <w:r w:rsidRPr="001179F3">
        <w:t>persons.</w:t>
      </w:r>
    </w:p>
    <w:p w14:paraId="66549F60" w14:textId="77777777" w:rsidR="00B2406F" w:rsidRPr="003066D6" w:rsidRDefault="00B2406F" w:rsidP="003066D6">
      <w:pPr>
        <w:pStyle w:val="NoSpacing"/>
        <w:numPr>
          <w:ilvl w:val="0"/>
          <w:numId w:val="27"/>
        </w:numPr>
      </w:pPr>
      <w:r w:rsidRPr="003066D6">
        <w:t>A delegation may be revoked at will</w:t>
      </w:r>
      <w:r w:rsidRPr="003066D6">
        <w:rPr>
          <w:spacing w:val="-1"/>
        </w:rPr>
        <w:t xml:space="preserve"> </w:t>
      </w:r>
      <w:r w:rsidRPr="003066D6">
        <w:t>by—</w:t>
      </w:r>
    </w:p>
    <w:p w14:paraId="57730735" w14:textId="77777777" w:rsidR="00B2406F" w:rsidRPr="003066D6" w:rsidRDefault="00B2406F" w:rsidP="003066D6">
      <w:pPr>
        <w:pStyle w:val="NoSpacing"/>
        <w:numPr>
          <w:ilvl w:val="0"/>
          <w:numId w:val="28"/>
        </w:numPr>
        <w:tabs>
          <w:tab w:val="left" w:pos="851"/>
        </w:tabs>
        <w:ind w:hanging="153"/>
      </w:pPr>
      <w:r w:rsidRPr="003066D6">
        <w:t>resolution of the board and written notice to the delegate;</w:t>
      </w:r>
      <w:r w:rsidRPr="003066D6">
        <w:rPr>
          <w:spacing w:val="-1"/>
        </w:rPr>
        <w:t xml:space="preserve"> </w:t>
      </w:r>
      <w:r w:rsidRPr="003066D6">
        <w:t>or</w:t>
      </w:r>
    </w:p>
    <w:p w14:paraId="72E85438" w14:textId="77777777" w:rsidR="00B2406F" w:rsidRPr="003066D6" w:rsidRDefault="00B2406F" w:rsidP="003066D6">
      <w:pPr>
        <w:pStyle w:val="NoSpacing"/>
        <w:numPr>
          <w:ilvl w:val="0"/>
          <w:numId w:val="28"/>
        </w:numPr>
        <w:tabs>
          <w:tab w:val="left" w:pos="851"/>
        </w:tabs>
        <w:ind w:hanging="153"/>
      </w:pPr>
      <w:r w:rsidRPr="003066D6">
        <w:t>any other method provided for in the</w:t>
      </w:r>
      <w:r w:rsidRPr="003066D6">
        <w:rPr>
          <w:spacing w:val="-1"/>
        </w:rPr>
        <w:t xml:space="preserve"> </w:t>
      </w:r>
      <w:r w:rsidRPr="003066D6">
        <w:t>delegation.</w:t>
      </w:r>
    </w:p>
    <w:p w14:paraId="55F3CB9F" w14:textId="77777777" w:rsidR="00B2406F" w:rsidRPr="003066D6" w:rsidRDefault="00B2406F" w:rsidP="003066D6">
      <w:pPr>
        <w:pStyle w:val="NoSpacing"/>
        <w:numPr>
          <w:ilvl w:val="0"/>
          <w:numId w:val="27"/>
        </w:numPr>
      </w:pPr>
      <w:r w:rsidRPr="003066D6">
        <w:t>A delegation under subclause (4)(b) may be revoked at will by written notice of the delegate to the</w:t>
      </w:r>
      <w:r w:rsidRPr="003066D6">
        <w:rPr>
          <w:spacing w:val="-2"/>
        </w:rPr>
        <w:t xml:space="preserve"> </w:t>
      </w:r>
      <w:r w:rsidRPr="003066D6">
        <w:t>subdelegate.</w:t>
      </w:r>
    </w:p>
    <w:p w14:paraId="04D78688" w14:textId="77777777" w:rsidR="00B2406F" w:rsidRPr="003066D6" w:rsidRDefault="00B2406F" w:rsidP="003066D6">
      <w:pPr>
        <w:pStyle w:val="NoSpacing"/>
        <w:numPr>
          <w:ilvl w:val="0"/>
          <w:numId w:val="27"/>
        </w:numPr>
      </w:pPr>
      <w:r w:rsidRPr="003066D6">
        <w:t xml:space="preserve">The board </w:t>
      </w:r>
      <w:r w:rsidRPr="003066D6">
        <w:rPr>
          <w:spacing w:val="-3"/>
        </w:rPr>
        <w:t xml:space="preserve">may, </w:t>
      </w:r>
      <w:r w:rsidRPr="003066D6">
        <w:t>by resolution, appoint</w:t>
      </w:r>
      <w:r w:rsidRPr="003066D6">
        <w:rPr>
          <w:spacing w:val="1"/>
        </w:rPr>
        <w:t xml:space="preserve"> </w:t>
      </w:r>
      <w:r w:rsidRPr="003066D6">
        <w:t>committees—</w:t>
      </w:r>
    </w:p>
    <w:p w14:paraId="5B50B4DE" w14:textId="77777777" w:rsidR="00B2406F" w:rsidRPr="003066D6" w:rsidRDefault="00B2406F" w:rsidP="003066D6">
      <w:pPr>
        <w:pStyle w:val="NoSpacing"/>
        <w:numPr>
          <w:ilvl w:val="0"/>
          <w:numId w:val="29"/>
        </w:numPr>
        <w:tabs>
          <w:tab w:val="left" w:pos="851"/>
        </w:tabs>
        <w:ind w:hanging="153"/>
      </w:pPr>
      <w:r w:rsidRPr="003066D6">
        <w:t>to advise it on any matters relating to the board’s functions and powers that are referred to the committee by the board;</w:t>
      </w:r>
      <w:r w:rsidRPr="003066D6">
        <w:rPr>
          <w:spacing w:val="-8"/>
        </w:rPr>
        <w:t xml:space="preserve"> </w:t>
      </w:r>
      <w:r w:rsidRPr="003066D6">
        <w:t>or</w:t>
      </w:r>
    </w:p>
    <w:p w14:paraId="4237A1F5" w14:textId="77777777" w:rsidR="00B2406F" w:rsidRPr="003066D6" w:rsidRDefault="00B2406F" w:rsidP="003066D6">
      <w:pPr>
        <w:pStyle w:val="NoSpacing"/>
        <w:numPr>
          <w:ilvl w:val="0"/>
          <w:numId w:val="29"/>
        </w:numPr>
        <w:tabs>
          <w:tab w:val="left" w:pos="851"/>
        </w:tabs>
        <w:ind w:hanging="153"/>
      </w:pPr>
      <w:r w:rsidRPr="003066D6">
        <w:t>to perform or exercise any of the board’s functions and powers that are delegated to the</w:t>
      </w:r>
      <w:r w:rsidRPr="003066D6">
        <w:rPr>
          <w:spacing w:val="-3"/>
        </w:rPr>
        <w:t xml:space="preserve"> </w:t>
      </w:r>
      <w:r w:rsidRPr="003066D6">
        <w:t>committee.</w:t>
      </w:r>
    </w:p>
    <w:p w14:paraId="6B4D10C3" w14:textId="77777777" w:rsidR="00B2406F" w:rsidRPr="003066D6" w:rsidRDefault="00B2406F" w:rsidP="003066D6">
      <w:pPr>
        <w:pStyle w:val="NoSpacing"/>
        <w:numPr>
          <w:ilvl w:val="0"/>
          <w:numId w:val="27"/>
        </w:numPr>
      </w:pPr>
      <w:r w:rsidRPr="003066D6">
        <w:t>A person must not be appointed as a member of a committee unless, before appointment, he or she discloses to the board the details of</w:t>
      </w:r>
      <w:r w:rsidRPr="003066D6">
        <w:rPr>
          <w:spacing w:val="-13"/>
        </w:rPr>
        <w:t xml:space="preserve"> </w:t>
      </w:r>
      <w:r w:rsidRPr="003066D6">
        <w:t>any financial interest that would disqualify the person from being a trustee under section</w:t>
      </w:r>
      <w:r w:rsidRPr="003066D6">
        <w:rPr>
          <w:spacing w:val="-2"/>
        </w:rPr>
        <w:t xml:space="preserve"> </w:t>
      </w:r>
      <w:r w:rsidRPr="003066D6">
        <w:t>103A.</w:t>
      </w:r>
    </w:p>
    <w:p w14:paraId="0689041A" w14:textId="77777777" w:rsidR="00B2406F" w:rsidRPr="003066D6" w:rsidRDefault="00B2406F" w:rsidP="003066D6">
      <w:pPr>
        <w:pStyle w:val="NoSpacing"/>
        <w:numPr>
          <w:ilvl w:val="0"/>
          <w:numId w:val="27"/>
        </w:numPr>
      </w:pPr>
      <w:r w:rsidRPr="003066D6">
        <w:t>This clause applies to each member of a committee who is not a trustee with any necessary</w:t>
      </w:r>
      <w:r w:rsidRPr="003066D6">
        <w:rPr>
          <w:spacing w:val="-1"/>
        </w:rPr>
        <w:t xml:space="preserve"> </w:t>
      </w:r>
      <w:r w:rsidRPr="003066D6">
        <w:t>modifications</w:t>
      </w:r>
      <w:r w:rsidR="003066D6">
        <w:t>.</w:t>
      </w:r>
    </w:p>
    <w:p w14:paraId="516F0547" w14:textId="77777777" w:rsidR="00B2406F" w:rsidRDefault="00B2406F" w:rsidP="003066D6">
      <w:pPr>
        <w:pStyle w:val="Heading4"/>
        <w:rPr>
          <w:sz w:val="24"/>
        </w:rPr>
      </w:pPr>
      <w:r>
        <w:rPr>
          <w:rFonts w:eastAsia="Calibri"/>
        </w:rPr>
        <w:t>18 Bylaws</w:t>
      </w:r>
    </w:p>
    <w:p w14:paraId="2B2A5899" w14:textId="77777777" w:rsidR="00B2406F" w:rsidRPr="003066D6" w:rsidRDefault="00B2406F" w:rsidP="003066D6">
      <w:pPr>
        <w:pStyle w:val="NoSpacing"/>
      </w:pPr>
      <w:r w:rsidRPr="003066D6">
        <w:t>A board may make bylaws that the board thinks necessary or desirable for the control and management of the school.</w:t>
      </w:r>
    </w:p>
    <w:p w14:paraId="1295BD53" w14:textId="77777777" w:rsidR="00B2406F" w:rsidRDefault="00B2406F" w:rsidP="003066D6">
      <w:pPr>
        <w:pStyle w:val="Heading3"/>
      </w:pPr>
      <w:r>
        <w:rPr>
          <w:rFonts w:eastAsia="Calibri"/>
        </w:rPr>
        <w:t>Part</w:t>
      </w:r>
      <w:r>
        <w:t xml:space="preserve"> 7 </w:t>
      </w:r>
      <w:r>
        <w:rPr>
          <w:rFonts w:eastAsia="Calibri"/>
        </w:rPr>
        <w:t>Control</w:t>
      </w:r>
      <w:r>
        <w:t xml:space="preserve"> </w:t>
      </w:r>
      <w:r>
        <w:rPr>
          <w:rFonts w:eastAsia="Calibri"/>
        </w:rPr>
        <w:t>and</w:t>
      </w:r>
      <w:r>
        <w:t xml:space="preserve"> </w:t>
      </w:r>
      <w:r>
        <w:rPr>
          <w:rFonts w:eastAsia="Calibri"/>
        </w:rPr>
        <w:t>management</w:t>
      </w:r>
      <w:r>
        <w:t xml:space="preserve"> </w:t>
      </w:r>
      <w:r>
        <w:rPr>
          <w:rFonts w:eastAsia="Calibri"/>
        </w:rPr>
        <w:t>of</w:t>
      </w:r>
      <w:r>
        <w:t xml:space="preserve"> </w:t>
      </w:r>
      <w:r>
        <w:rPr>
          <w:rFonts w:eastAsia="Calibri"/>
        </w:rPr>
        <w:t>State</w:t>
      </w:r>
      <w:r>
        <w:t xml:space="preserve"> </w:t>
      </w:r>
      <w:r>
        <w:rPr>
          <w:rFonts w:eastAsia="Calibri"/>
        </w:rPr>
        <w:t>schools</w:t>
      </w:r>
    </w:p>
    <w:p w14:paraId="158CE788" w14:textId="77777777" w:rsidR="00B2406F" w:rsidRDefault="00B2406F" w:rsidP="003066D6">
      <w:pPr>
        <w:pStyle w:val="Heading4"/>
      </w:pPr>
      <w:r>
        <w:t xml:space="preserve">76 </w:t>
      </w:r>
      <w:r>
        <w:rPr>
          <w:rFonts w:eastAsia="Calibri"/>
        </w:rPr>
        <w:t>Role</w:t>
      </w:r>
      <w:r>
        <w:t xml:space="preserve"> </w:t>
      </w:r>
      <w:r>
        <w:rPr>
          <w:rFonts w:eastAsia="Calibri"/>
        </w:rPr>
        <w:t>of</w:t>
      </w:r>
      <w:r>
        <w:t xml:space="preserve"> </w:t>
      </w:r>
      <w:r>
        <w:rPr>
          <w:rFonts w:eastAsia="Calibri"/>
        </w:rPr>
        <w:t>principal</w:t>
      </w:r>
    </w:p>
    <w:p w14:paraId="599AFFBB" w14:textId="77777777" w:rsidR="00B2406F" w:rsidRPr="003066D6" w:rsidRDefault="00B2406F" w:rsidP="003066D6">
      <w:pPr>
        <w:pStyle w:val="NoSpacing"/>
        <w:numPr>
          <w:ilvl w:val="0"/>
          <w:numId w:val="31"/>
        </w:numPr>
      </w:pPr>
      <w:r w:rsidRPr="003066D6">
        <w:t>A school’s principal is the board’s chief executive in relation to the school’s control and</w:t>
      </w:r>
      <w:r w:rsidRPr="003066D6">
        <w:rPr>
          <w:spacing w:val="-4"/>
        </w:rPr>
        <w:t xml:space="preserve"> </w:t>
      </w:r>
      <w:r w:rsidRPr="003066D6">
        <w:t>management.</w:t>
      </w:r>
    </w:p>
    <w:p w14:paraId="2A519309" w14:textId="77777777" w:rsidR="00B2406F" w:rsidRPr="003066D6" w:rsidRDefault="00B2406F" w:rsidP="003066D6">
      <w:pPr>
        <w:pStyle w:val="NoSpacing"/>
        <w:numPr>
          <w:ilvl w:val="0"/>
          <w:numId w:val="31"/>
        </w:numPr>
      </w:pPr>
      <w:r w:rsidRPr="003066D6">
        <w:t>Except to the extent that any enactment or the general law of New Zealand provides otherwise, the principal</w:t>
      </w:r>
      <w:r w:rsidRPr="003066D6">
        <w:rPr>
          <w:spacing w:val="-2"/>
        </w:rPr>
        <w:t xml:space="preserve"> </w:t>
      </w:r>
      <w:r w:rsidRPr="003066D6">
        <w:t>–</w:t>
      </w:r>
    </w:p>
    <w:p w14:paraId="16827B8A" w14:textId="77777777" w:rsidR="00B2406F" w:rsidRPr="003066D6" w:rsidRDefault="00B2406F" w:rsidP="003066D6">
      <w:pPr>
        <w:pStyle w:val="NoSpacing"/>
        <w:numPr>
          <w:ilvl w:val="0"/>
          <w:numId w:val="32"/>
        </w:numPr>
        <w:tabs>
          <w:tab w:val="left" w:pos="851"/>
        </w:tabs>
        <w:ind w:hanging="153"/>
      </w:pPr>
      <w:r w:rsidRPr="003066D6">
        <w:t>shall comply with the board’s general policy directions;</w:t>
      </w:r>
      <w:r w:rsidRPr="003066D6">
        <w:rPr>
          <w:spacing w:val="-1"/>
        </w:rPr>
        <w:t xml:space="preserve"> </w:t>
      </w:r>
      <w:r w:rsidRPr="003066D6">
        <w:t>and</w:t>
      </w:r>
    </w:p>
    <w:p w14:paraId="26CA2A9C" w14:textId="77777777" w:rsidR="00B2406F" w:rsidRPr="003066D6" w:rsidRDefault="00B2406F" w:rsidP="003066D6">
      <w:pPr>
        <w:pStyle w:val="NoSpacing"/>
        <w:numPr>
          <w:ilvl w:val="0"/>
          <w:numId w:val="32"/>
        </w:numPr>
        <w:tabs>
          <w:tab w:val="left" w:pos="851"/>
        </w:tabs>
        <w:ind w:hanging="153"/>
      </w:pPr>
      <w:r w:rsidRPr="003066D6">
        <w:t>subject to paragraph (a), has complete discretion to manage as the principal thinks fit the school’s day-to-day</w:t>
      </w:r>
      <w:r w:rsidRPr="003066D6">
        <w:rPr>
          <w:spacing w:val="-5"/>
        </w:rPr>
        <w:t xml:space="preserve"> </w:t>
      </w:r>
      <w:r w:rsidRPr="003066D6">
        <w:t>administration.</w:t>
      </w:r>
    </w:p>
    <w:p w14:paraId="34D17578" w14:textId="77777777" w:rsidR="003066D6" w:rsidRDefault="003066D6" w:rsidP="003066D6">
      <w:pPr>
        <w:pStyle w:val="Heading2"/>
      </w:pPr>
      <w:r>
        <w:t>Supporting Documents:</w:t>
      </w:r>
    </w:p>
    <w:p w14:paraId="62944B6B" w14:textId="77777777" w:rsidR="003066D6" w:rsidRDefault="0059356E" w:rsidP="003066D6">
      <w:hyperlink r:id="rId7" w:history="1">
        <w:r w:rsidR="003066D6">
          <w:rPr>
            <w:rStyle w:val="Hyperlink"/>
          </w:rPr>
          <w:t>NZSTA Website</w:t>
        </w:r>
      </w:hyperlink>
      <w:r w:rsidR="003066D6">
        <w:t xml:space="preserve"> </w:t>
      </w:r>
    </w:p>
    <w:p w14:paraId="6E1E2501" w14:textId="77777777" w:rsidR="003066D6" w:rsidRDefault="003066D6" w:rsidP="003066D6"/>
    <w:p w14:paraId="157E8F1A" w14:textId="77777777" w:rsidR="003066D6" w:rsidRDefault="0059356E" w:rsidP="003066D6">
      <w:hyperlink r:id="rId8" w:history="1">
        <w:r w:rsidR="003066D6">
          <w:rPr>
            <w:rStyle w:val="Hyperlink"/>
          </w:rPr>
          <w:t>Link to Government Legislation: Education Act 1989</w:t>
        </w:r>
      </w:hyperlink>
      <w:r w:rsidR="003066D6">
        <w:t xml:space="preserve"> </w:t>
      </w:r>
    </w:p>
    <w:p w14:paraId="3344961D" w14:textId="77777777" w:rsidR="003066D6" w:rsidRDefault="003066D6" w:rsidP="003066D6"/>
    <w:p w14:paraId="274E59C4" w14:textId="633328BB" w:rsidR="0089785F" w:rsidRPr="003066D6" w:rsidRDefault="003066D6" w:rsidP="003066D6">
      <w:r>
        <w:t>Approved:</w:t>
      </w:r>
      <w:r>
        <w:tab/>
      </w:r>
      <w:r w:rsidR="0059356E">
        <w:t xml:space="preserve"> </w:t>
      </w:r>
      <w:r w:rsidR="0059356E">
        <w:rPr>
          <w:noProof/>
        </w:rPr>
        <w:drawing>
          <wp:inline distT="0" distB="0" distL="0" distR="0" wp14:anchorId="2B0643DD" wp14:editId="69C36D1A">
            <wp:extent cx="987424" cy="1089329"/>
            <wp:effectExtent l="0" t="0" r="3810" b="0"/>
            <wp:docPr id="1" name="Picture 1" descr="Signature: Chris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Chris Gun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821" cy="1104108"/>
                    </a:xfrm>
                    <a:prstGeom prst="rect">
                      <a:avLst/>
                    </a:prstGeom>
                  </pic:spPr>
                </pic:pic>
              </a:graphicData>
            </a:graphic>
          </wp:inline>
        </w:drawing>
      </w:r>
      <w:r w:rsidR="00D02307">
        <w:t xml:space="preserve"> </w:t>
      </w:r>
      <w:r w:rsidR="0089785F">
        <w:t>Date:</w:t>
      </w:r>
      <w:r w:rsidR="0059356E">
        <w:t xml:space="preserve"> 28 October 2022 </w:t>
      </w:r>
      <w:r w:rsidR="0089785F">
        <w:t>Next Review: 2025</w:t>
      </w:r>
    </w:p>
    <w:sectPr w:rsidR="0089785F" w:rsidRPr="003066D6" w:rsidSect="0089785F">
      <w:footerReference w:type="default" r:id="rId10"/>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FB79" w14:textId="77777777" w:rsidR="00FE5875" w:rsidRDefault="00FE5875" w:rsidP="00FE5875">
      <w:r>
        <w:separator/>
      </w:r>
    </w:p>
  </w:endnote>
  <w:endnote w:type="continuationSeparator" w:id="0">
    <w:p w14:paraId="299E294A" w14:textId="77777777" w:rsidR="00FE5875" w:rsidRDefault="00FE5875" w:rsidP="00F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amaSemicondensed-Light">
    <w:altName w:val="Cambria"/>
    <w:charset w:val="00"/>
    <w:family w:val="auto"/>
    <w:pitch w:val="variable"/>
    <w:sig w:usb0="A00000AF" w:usb1="4000207B" w:usb2="00000000" w:usb3="00000000" w:csb0="0000008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E7BE" w14:textId="77777777" w:rsidR="001179F3" w:rsidRDefault="001179F3">
    <w:pPr>
      <w:pStyle w:val="Footer"/>
      <w:rPr>
        <w:b/>
        <w:bCs/>
      </w:rPr>
    </w:pPr>
    <w:r>
      <w:t>PN6-5 20</w:t>
    </w:r>
    <w:r w:rsidR="0089785F">
      <w:t>22</w:t>
    </w:r>
    <w:r>
      <w:t xml:space="preserve"> School Policy Framework</w:t>
    </w:r>
    <w:r>
      <w:tab/>
    </w:r>
    <w:r>
      <w:tab/>
      <w:t xml:space="preserve">Page </w:t>
    </w:r>
    <w:r>
      <w:rPr>
        <w:b/>
        <w:bCs/>
      </w:rPr>
      <w:fldChar w:fldCharType="begin"/>
    </w:r>
    <w:r>
      <w:rPr>
        <w:b/>
        <w:bCs/>
      </w:rPr>
      <w:instrText xml:space="preserve"> PAGE  \* Arabic  \* MERGEFORMAT </w:instrText>
    </w:r>
    <w:r>
      <w:rPr>
        <w:b/>
        <w:bCs/>
      </w:rPr>
      <w:fldChar w:fldCharType="separate"/>
    </w:r>
    <w:r w:rsidR="00634EB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34EB9">
      <w:rPr>
        <w:b/>
        <w:bCs/>
        <w:noProof/>
      </w:rPr>
      <w:t>3</w:t>
    </w:r>
    <w:r>
      <w:rPr>
        <w:b/>
        <w:bCs/>
      </w:rPr>
      <w:fldChar w:fldCharType="end"/>
    </w:r>
  </w:p>
  <w:p w14:paraId="734C2CA0" w14:textId="77777777" w:rsidR="001179F3" w:rsidRPr="001179F3" w:rsidRDefault="00634EB9">
    <w:pPr>
      <w:pStyle w:val="Footer"/>
    </w:pPr>
    <w:r>
      <w:rPr>
        <w:bCs/>
      </w:rPr>
      <w:t>October</w:t>
    </w:r>
    <w:r w:rsidR="0089785F">
      <w:rPr>
        <w:bCs/>
      </w:rPr>
      <w:t xml:space="preserve"> 2022</w:t>
    </w:r>
  </w:p>
  <w:p w14:paraId="4C58F6B4" w14:textId="77777777" w:rsidR="00FE5875" w:rsidRDefault="00FE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874D" w14:textId="77777777" w:rsidR="00FE5875" w:rsidRDefault="00FE5875" w:rsidP="00FE5875">
      <w:r>
        <w:separator/>
      </w:r>
    </w:p>
  </w:footnote>
  <w:footnote w:type="continuationSeparator" w:id="0">
    <w:p w14:paraId="2C9BF85A" w14:textId="77777777" w:rsidR="00FE5875" w:rsidRDefault="00FE5875" w:rsidP="00FE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8CD"/>
    <w:multiLevelType w:val="hybridMultilevel"/>
    <w:tmpl w:val="F92811F6"/>
    <w:lvl w:ilvl="0" w:tplc="0DCCA184">
      <w:start w:val="1"/>
      <w:numFmt w:val="decimal"/>
      <w:lvlText w:val="(%1)"/>
      <w:lvlJc w:val="left"/>
      <w:pPr>
        <w:ind w:left="390" w:hanging="281"/>
      </w:pPr>
      <w:rPr>
        <w:rFonts w:ascii="Arial" w:eastAsia="FlamaSemicondensed-Light" w:hAnsi="Arial" w:cs="Arial" w:hint="default"/>
        <w:color w:val="231F20"/>
        <w:spacing w:val="-8"/>
        <w:w w:val="100"/>
        <w:sz w:val="18"/>
        <w:szCs w:val="18"/>
        <w:lang w:val="en-US" w:eastAsia="en-US" w:bidi="en-US"/>
      </w:rPr>
    </w:lvl>
    <w:lvl w:ilvl="1" w:tplc="1B90EC2A">
      <w:start w:val="1"/>
      <w:numFmt w:val="lowerLetter"/>
      <w:lvlText w:val="(%2)"/>
      <w:lvlJc w:val="left"/>
      <w:pPr>
        <w:ind w:left="650" w:hanging="260"/>
      </w:pPr>
      <w:rPr>
        <w:rFonts w:ascii="Arial" w:eastAsia="FlamaSemicondensed-Light" w:hAnsi="Arial" w:cs="Arial" w:hint="default"/>
        <w:color w:val="231F20"/>
        <w:w w:val="100"/>
        <w:sz w:val="18"/>
        <w:szCs w:val="18"/>
        <w:lang w:val="en-US" w:eastAsia="en-US" w:bidi="en-US"/>
      </w:rPr>
    </w:lvl>
    <w:lvl w:ilvl="2" w:tplc="621E8B8E">
      <w:start w:val="1"/>
      <w:numFmt w:val="lowerRoman"/>
      <w:lvlText w:val="(%3)"/>
      <w:lvlJc w:val="left"/>
      <w:pPr>
        <w:ind w:left="830" w:hanging="180"/>
      </w:pPr>
      <w:rPr>
        <w:rFonts w:ascii="Arial" w:eastAsia="FlamaSemicondensed-Light" w:hAnsi="Arial" w:cs="Arial" w:hint="default"/>
        <w:color w:val="231F20"/>
        <w:spacing w:val="-4"/>
        <w:w w:val="100"/>
        <w:sz w:val="18"/>
        <w:szCs w:val="18"/>
        <w:lang w:val="en-US" w:eastAsia="en-US" w:bidi="en-US"/>
      </w:rPr>
    </w:lvl>
    <w:lvl w:ilvl="3" w:tplc="E690E916">
      <w:numFmt w:val="bullet"/>
      <w:lvlText w:val="•"/>
      <w:lvlJc w:val="left"/>
      <w:pPr>
        <w:ind w:left="2130" w:hanging="180"/>
      </w:pPr>
      <w:rPr>
        <w:lang w:val="en-US" w:eastAsia="en-US" w:bidi="en-US"/>
      </w:rPr>
    </w:lvl>
    <w:lvl w:ilvl="4" w:tplc="A20C3212">
      <w:numFmt w:val="bullet"/>
      <w:lvlText w:val="•"/>
      <w:lvlJc w:val="left"/>
      <w:pPr>
        <w:ind w:left="3421" w:hanging="180"/>
      </w:pPr>
      <w:rPr>
        <w:lang w:val="en-US" w:eastAsia="en-US" w:bidi="en-US"/>
      </w:rPr>
    </w:lvl>
    <w:lvl w:ilvl="5" w:tplc="4A1A566C">
      <w:numFmt w:val="bullet"/>
      <w:lvlText w:val="•"/>
      <w:lvlJc w:val="left"/>
      <w:pPr>
        <w:ind w:left="4712" w:hanging="180"/>
      </w:pPr>
      <w:rPr>
        <w:lang w:val="en-US" w:eastAsia="en-US" w:bidi="en-US"/>
      </w:rPr>
    </w:lvl>
    <w:lvl w:ilvl="6" w:tplc="D506F5E6">
      <w:numFmt w:val="bullet"/>
      <w:lvlText w:val="•"/>
      <w:lvlJc w:val="left"/>
      <w:pPr>
        <w:ind w:left="6002" w:hanging="180"/>
      </w:pPr>
      <w:rPr>
        <w:lang w:val="en-US" w:eastAsia="en-US" w:bidi="en-US"/>
      </w:rPr>
    </w:lvl>
    <w:lvl w:ilvl="7" w:tplc="0A46882C">
      <w:numFmt w:val="bullet"/>
      <w:lvlText w:val="•"/>
      <w:lvlJc w:val="left"/>
      <w:pPr>
        <w:ind w:left="7293" w:hanging="180"/>
      </w:pPr>
      <w:rPr>
        <w:lang w:val="en-US" w:eastAsia="en-US" w:bidi="en-US"/>
      </w:rPr>
    </w:lvl>
    <w:lvl w:ilvl="8" w:tplc="8A96371C">
      <w:numFmt w:val="bullet"/>
      <w:lvlText w:val="•"/>
      <w:lvlJc w:val="left"/>
      <w:pPr>
        <w:ind w:left="8584" w:hanging="180"/>
      </w:pPr>
      <w:rPr>
        <w:lang w:val="en-US" w:eastAsia="en-US" w:bidi="en-US"/>
      </w:rPr>
    </w:lvl>
  </w:abstractNum>
  <w:abstractNum w:abstractNumId="1" w15:restartNumberingAfterBreak="0">
    <w:nsid w:val="030E50FF"/>
    <w:multiLevelType w:val="hybridMultilevel"/>
    <w:tmpl w:val="07047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A90734"/>
    <w:multiLevelType w:val="hybridMultilevel"/>
    <w:tmpl w:val="5ECAF014"/>
    <w:lvl w:ilvl="0" w:tplc="1B90EC2A">
      <w:start w:val="1"/>
      <w:numFmt w:val="lowerLetter"/>
      <w:lvlText w:val="(%1)"/>
      <w:lvlJc w:val="left"/>
      <w:pPr>
        <w:ind w:left="720" w:hanging="360"/>
      </w:pPr>
      <w:rPr>
        <w:rFonts w:ascii="Arial" w:eastAsia="FlamaSemicondensed-Light" w:hAnsi="Arial" w:cs="Arial" w:hint="default"/>
        <w:color w:val="231F20"/>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6CD0CCF"/>
    <w:multiLevelType w:val="hybridMultilevel"/>
    <w:tmpl w:val="27DCA76C"/>
    <w:lvl w:ilvl="0" w:tplc="1B90EC2A">
      <w:start w:val="1"/>
      <w:numFmt w:val="lowerLetter"/>
      <w:lvlText w:val="(%1)"/>
      <w:lvlJc w:val="left"/>
      <w:pPr>
        <w:ind w:left="928"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648" w:hanging="360"/>
      </w:pPr>
    </w:lvl>
    <w:lvl w:ilvl="2" w:tplc="1409001B" w:tentative="1">
      <w:start w:val="1"/>
      <w:numFmt w:val="lowerRoman"/>
      <w:lvlText w:val="%3."/>
      <w:lvlJc w:val="right"/>
      <w:pPr>
        <w:ind w:left="2368" w:hanging="180"/>
      </w:pPr>
    </w:lvl>
    <w:lvl w:ilvl="3" w:tplc="1409000F" w:tentative="1">
      <w:start w:val="1"/>
      <w:numFmt w:val="decimal"/>
      <w:lvlText w:val="%4."/>
      <w:lvlJc w:val="left"/>
      <w:pPr>
        <w:ind w:left="3088" w:hanging="360"/>
      </w:pPr>
    </w:lvl>
    <w:lvl w:ilvl="4" w:tplc="14090019" w:tentative="1">
      <w:start w:val="1"/>
      <w:numFmt w:val="lowerLetter"/>
      <w:lvlText w:val="%5."/>
      <w:lvlJc w:val="left"/>
      <w:pPr>
        <w:ind w:left="3808" w:hanging="360"/>
      </w:pPr>
    </w:lvl>
    <w:lvl w:ilvl="5" w:tplc="1409001B" w:tentative="1">
      <w:start w:val="1"/>
      <w:numFmt w:val="lowerRoman"/>
      <w:lvlText w:val="%6."/>
      <w:lvlJc w:val="right"/>
      <w:pPr>
        <w:ind w:left="4528" w:hanging="180"/>
      </w:pPr>
    </w:lvl>
    <w:lvl w:ilvl="6" w:tplc="1409000F" w:tentative="1">
      <w:start w:val="1"/>
      <w:numFmt w:val="decimal"/>
      <w:lvlText w:val="%7."/>
      <w:lvlJc w:val="left"/>
      <w:pPr>
        <w:ind w:left="5248" w:hanging="360"/>
      </w:pPr>
    </w:lvl>
    <w:lvl w:ilvl="7" w:tplc="14090019" w:tentative="1">
      <w:start w:val="1"/>
      <w:numFmt w:val="lowerLetter"/>
      <w:lvlText w:val="%8."/>
      <w:lvlJc w:val="left"/>
      <w:pPr>
        <w:ind w:left="5968" w:hanging="360"/>
      </w:pPr>
    </w:lvl>
    <w:lvl w:ilvl="8" w:tplc="1409001B" w:tentative="1">
      <w:start w:val="1"/>
      <w:numFmt w:val="lowerRoman"/>
      <w:lvlText w:val="%9."/>
      <w:lvlJc w:val="right"/>
      <w:pPr>
        <w:ind w:left="6688" w:hanging="180"/>
      </w:pPr>
    </w:lvl>
  </w:abstractNum>
  <w:abstractNum w:abstractNumId="4" w15:restartNumberingAfterBreak="0">
    <w:nsid w:val="0E144EB8"/>
    <w:multiLevelType w:val="hybridMultilevel"/>
    <w:tmpl w:val="49223126"/>
    <w:lvl w:ilvl="0" w:tplc="0DCCA184">
      <w:start w:val="1"/>
      <w:numFmt w:val="decimal"/>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1707DB"/>
    <w:multiLevelType w:val="hybridMultilevel"/>
    <w:tmpl w:val="193691AE"/>
    <w:lvl w:ilvl="0" w:tplc="5F2EDADE">
      <w:start w:val="1"/>
      <w:numFmt w:val="decimal"/>
      <w:lvlText w:val="(%1)"/>
      <w:lvlJc w:val="left"/>
      <w:pPr>
        <w:ind w:left="423" w:hanging="281"/>
      </w:pPr>
      <w:rPr>
        <w:rFonts w:ascii="Arial" w:eastAsia="FlamaSemicondensed-Light" w:hAnsi="Arial" w:cs="Arial" w:hint="default"/>
        <w:color w:val="231F20"/>
        <w:spacing w:val="-8"/>
        <w:w w:val="100"/>
        <w:sz w:val="18"/>
        <w:szCs w:val="18"/>
        <w:lang w:val="en-US" w:eastAsia="en-US" w:bidi="en-US"/>
      </w:rPr>
    </w:lvl>
    <w:lvl w:ilvl="1" w:tplc="52C6D4D2">
      <w:numFmt w:val="bullet"/>
      <w:lvlText w:val="•"/>
      <w:lvlJc w:val="left"/>
      <w:pPr>
        <w:ind w:left="1509" w:hanging="281"/>
      </w:pPr>
      <w:rPr>
        <w:lang w:val="en-US" w:eastAsia="en-US" w:bidi="en-US"/>
      </w:rPr>
    </w:lvl>
    <w:lvl w:ilvl="2" w:tplc="029C6E70">
      <w:numFmt w:val="bullet"/>
      <w:lvlText w:val="•"/>
      <w:lvlJc w:val="left"/>
      <w:pPr>
        <w:ind w:left="2586" w:hanging="281"/>
      </w:pPr>
      <w:rPr>
        <w:lang w:val="en-US" w:eastAsia="en-US" w:bidi="en-US"/>
      </w:rPr>
    </w:lvl>
    <w:lvl w:ilvl="3" w:tplc="45623F3E">
      <w:numFmt w:val="bullet"/>
      <w:lvlText w:val="•"/>
      <w:lvlJc w:val="left"/>
      <w:pPr>
        <w:ind w:left="3662" w:hanging="281"/>
      </w:pPr>
      <w:rPr>
        <w:lang w:val="en-US" w:eastAsia="en-US" w:bidi="en-US"/>
      </w:rPr>
    </w:lvl>
    <w:lvl w:ilvl="4" w:tplc="B2E0D828">
      <w:numFmt w:val="bullet"/>
      <w:lvlText w:val="•"/>
      <w:lvlJc w:val="left"/>
      <w:pPr>
        <w:ind w:left="4739" w:hanging="281"/>
      </w:pPr>
      <w:rPr>
        <w:lang w:val="en-US" w:eastAsia="en-US" w:bidi="en-US"/>
      </w:rPr>
    </w:lvl>
    <w:lvl w:ilvl="5" w:tplc="10DC35C6">
      <w:numFmt w:val="bullet"/>
      <w:lvlText w:val="•"/>
      <w:lvlJc w:val="left"/>
      <w:pPr>
        <w:ind w:left="5815" w:hanging="281"/>
      </w:pPr>
      <w:rPr>
        <w:lang w:val="en-US" w:eastAsia="en-US" w:bidi="en-US"/>
      </w:rPr>
    </w:lvl>
    <w:lvl w:ilvl="6" w:tplc="618E1ADE">
      <w:numFmt w:val="bullet"/>
      <w:lvlText w:val="•"/>
      <w:lvlJc w:val="left"/>
      <w:pPr>
        <w:ind w:left="6892" w:hanging="281"/>
      </w:pPr>
      <w:rPr>
        <w:lang w:val="en-US" w:eastAsia="en-US" w:bidi="en-US"/>
      </w:rPr>
    </w:lvl>
    <w:lvl w:ilvl="7" w:tplc="21340DAE">
      <w:numFmt w:val="bullet"/>
      <w:lvlText w:val="•"/>
      <w:lvlJc w:val="left"/>
      <w:pPr>
        <w:ind w:left="7968" w:hanging="281"/>
      </w:pPr>
      <w:rPr>
        <w:lang w:val="en-US" w:eastAsia="en-US" w:bidi="en-US"/>
      </w:rPr>
    </w:lvl>
    <w:lvl w:ilvl="8" w:tplc="530A3C7E">
      <w:numFmt w:val="bullet"/>
      <w:lvlText w:val="•"/>
      <w:lvlJc w:val="left"/>
      <w:pPr>
        <w:ind w:left="9045" w:hanging="281"/>
      </w:pPr>
      <w:rPr>
        <w:lang w:val="en-US" w:eastAsia="en-US" w:bidi="en-US"/>
      </w:rPr>
    </w:lvl>
  </w:abstractNum>
  <w:abstractNum w:abstractNumId="6" w15:restartNumberingAfterBreak="0">
    <w:nsid w:val="13F8331B"/>
    <w:multiLevelType w:val="hybridMultilevel"/>
    <w:tmpl w:val="8B84E1D8"/>
    <w:lvl w:ilvl="0" w:tplc="1B90EC2A">
      <w:start w:val="1"/>
      <w:numFmt w:val="lowerLetter"/>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4DF563E"/>
    <w:multiLevelType w:val="hybridMultilevel"/>
    <w:tmpl w:val="7C344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DC0A0B"/>
    <w:multiLevelType w:val="hybridMultilevel"/>
    <w:tmpl w:val="EFDC6D72"/>
    <w:lvl w:ilvl="0" w:tplc="1B90EC2A">
      <w:start w:val="1"/>
      <w:numFmt w:val="lowerLetter"/>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F140355"/>
    <w:multiLevelType w:val="hybridMultilevel"/>
    <w:tmpl w:val="F1BAFB3A"/>
    <w:lvl w:ilvl="0" w:tplc="7F78C5B0">
      <w:start w:val="1"/>
      <w:numFmt w:val="decimal"/>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CE49A9"/>
    <w:multiLevelType w:val="hybridMultilevel"/>
    <w:tmpl w:val="1630851C"/>
    <w:lvl w:ilvl="0" w:tplc="621E8B8E">
      <w:start w:val="1"/>
      <w:numFmt w:val="lowerRoman"/>
      <w:lvlText w:val="(%1)"/>
      <w:lvlJc w:val="left"/>
      <w:pPr>
        <w:ind w:left="720" w:hanging="360"/>
      </w:pPr>
      <w:rPr>
        <w:rFonts w:ascii="Arial" w:eastAsia="FlamaSemicondensed-Light" w:hAnsi="Arial" w:cs="Arial" w:hint="default"/>
        <w:color w:val="231F20"/>
        <w:spacing w:val="-4"/>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6D83737"/>
    <w:multiLevelType w:val="hybridMultilevel"/>
    <w:tmpl w:val="F9780ADA"/>
    <w:lvl w:ilvl="0" w:tplc="1B90EC2A">
      <w:start w:val="1"/>
      <w:numFmt w:val="lowerLetter"/>
      <w:lvlText w:val="(%1)"/>
      <w:lvlJc w:val="left"/>
      <w:pPr>
        <w:ind w:left="720" w:hanging="360"/>
      </w:pPr>
      <w:rPr>
        <w:rFonts w:ascii="Arial" w:eastAsia="FlamaSemicondensed-Light" w:hAnsi="Arial" w:cs="Arial" w:hint="default"/>
        <w:color w:val="231F20"/>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774A0C"/>
    <w:multiLevelType w:val="hybridMultilevel"/>
    <w:tmpl w:val="0AB63174"/>
    <w:lvl w:ilvl="0" w:tplc="1B90EC2A">
      <w:start w:val="1"/>
      <w:numFmt w:val="lowerLetter"/>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699250E"/>
    <w:multiLevelType w:val="hybridMultilevel"/>
    <w:tmpl w:val="D48C7878"/>
    <w:lvl w:ilvl="0" w:tplc="0DCCA184">
      <w:start w:val="1"/>
      <w:numFmt w:val="decimal"/>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FA002AD"/>
    <w:multiLevelType w:val="hybridMultilevel"/>
    <w:tmpl w:val="8EF84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7E1991"/>
    <w:multiLevelType w:val="hybridMultilevel"/>
    <w:tmpl w:val="2AB24720"/>
    <w:lvl w:ilvl="0" w:tplc="E084D9CA">
      <w:start w:val="7"/>
      <w:numFmt w:val="decimal"/>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8225BC2"/>
    <w:multiLevelType w:val="hybridMultilevel"/>
    <w:tmpl w:val="B8F657FC"/>
    <w:lvl w:ilvl="0" w:tplc="7F78C5B0">
      <w:start w:val="1"/>
      <w:numFmt w:val="decimal"/>
      <w:lvlText w:val="(%1)"/>
      <w:lvlJc w:val="left"/>
      <w:pPr>
        <w:ind w:left="390" w:hanging="281"/>
      </w:pPr>
      <w:rPr>
        <w:rFonts w:ascii="Arial" w:eastAsia="FlamaSemicondensed-Light" w:hAnsi="Arial" w:cs="Arial" w:hint="default"/>
        <w:color w:val="231F20"/>
        <w:spacing w:val="-8"/>
        <w:w w:val="100"/>
        <w:sz w:val="18"/>
        <w:szCs w:val="18"/>
        <w:lang w:val="en-US" w:eastAsia="en-US" w:bidi="en-US"/>
      </w:rPr>
    </w:lvl>
    <w:lvl w:ilvl="1" w:tplc="EEA834B2">
      <w:start w:val="1"/>
      <w:numFmt w:val="lowerLetter"/>
      <w:lvlText w:val="(%2)"/>
      <w:lvlJc w:val="left"/>
      <w:pPr>
        <w:ind w:left="650" w:hanging="260"/>
      </w:pPr>
      <w:rPr>
        <w:rFonts w:ascii="Arial" w:eastAsia="FlamaSemicondensed-Light" w:hAnsi="Arial" w:cs="Arial" w:hint="default"/>
        <w:color w:val="231F20"/>
        <w:spacing w:val="-3"/>
        <w:w w:val="100"/>
        <w:sz w:val="18"/>
        <w:szCs w:val="18"/>
        <w:lang w:val="en-US" w:eastAsia="en-US" w:bidi="en-US"/>
      </w:rPr>
    </w:lvl>
    <w:lvl w:ilvl="2" w:tplc="827A1E10">
      <w:start w:val="1"/>
      <w:numFmt w:val="lowerRoman"/>
      <w:lvlText w:val="(%3)"/>
      <w:lvlJc w:val="left"/>
      <w:pPr>
        <w:ind w:left="830" w:hanging="180"/>
      </w:pPr>
      <w:rPr>
        <w:rFonts w:ascii="FlamaSemicondensed-Light" w:eastAsia="FlamaSemicondensed-Light" w:hAnsi="FlamaSemicondensed-Light" w:cs="FlamaSemicondensed-Light" w:hint="default"/>
        <w:color w:val="231F20"/>
        <w:spacing w:val="-2"/>
        <w:w w:val="100"/>
        <w:sz w:val="18"/>
        <w:szCs w:val="18"/>
        <w:lang w:val="en-US" w:eastAsia="en-US" w:bidi="en-US"/>
      </w:rPr>
    </w:lvl>
    <w:lvl w:ilvl="3" w:tplc="AED82C9E">
      <w:numFmt w:val="bullet"/>
      <w:lvlText w:val="•"/>
      <w:lvlJc w:val="left"/>
      <w:pPr>
        <w:ind w:left="2130" w:hanging="180"/>
      </w:pPr>
      <w:rPr>
        <w:lang w:val="en-US" w:eastAsia="en-US" w:bidi="en-US"/>
      </w:rPr>
    </w:lvl>
    <w:lvl w:ilvl="4" w:tplc="EF763598">
      <w:numFmt w:val="bullet"/>
      <w:lvlText w:val="•"/>
      <w:lvlJc w:val="left"/>
      <w:pPr>
        <w:ind w:left="3421" w:hanging="180"/>
      </w:pPr>
      <w:rPr>
        <w:lang w:val="en-US" w:eastAsia="en-US" w:bidi="en-US"/>
      </w:rPr>
    </w:lvl>
    <w:lvl w:ilvl="5" w:tplc="5784B8FE">
      <w:numFmt w:val="bullet"/>
      <w:lvlText w:val="•"/>
      <w:lvlJc w:val="left"/>
      <w:pPr>
        <w:ind w:left="4712" w:hanging="180"/>
      </w:pPr>
      <w:rPr>
        <w:lang w:val="en-US" w:eastAsia="en-US" w:bidi="en-US"/>
      </w:rPr>
    </w:lvl>
    <w:lvl w:ilvl="6" w:tplc="6FA6B93C">
      <w:numFmt w:val="bullet"/>
      <w:lvlText w:val="•"/>
      <w:lvlJc w:val="left"/>
      <w:pPr>
        <w:ind w:left="6002" w:hanging="180"/>
      </w:pPr>
      <w:rPr>
        <w:lang w:val="en-US" w:eastAsia="en-US" w:bidi="en-US"/>
      </w:rPr>
    </w:lvl>
    <w:lvl w:ilvl="7" w:tplc="DEDC4FD8">
      <w:numFmt w:val="bullet"/>
      <w:lvlText w:val="•"/>
      <w:lvlJc w:val="left"/>
      <w:pPr>
        <w:ind w:left="7293" w:hanging="180"/>
      </w:pPr>
      <w:rPr>
        <w:lang w:val="en-US" w:eastAsia="en-US" w:bidi="en-US"/>
      </w:rPr>
    </w:lvl>
    <w:lvl w:ilvl="8" w:tplc="96222650">
      <w:numFmt w:val="bullet"/>
      <w:lvlText w:val="•"/>
      <w:lvlJc w:val="left"/>
      <w:pPr>
        <w:ind w:left="8584" w:hanging="180"/>
      </w:pPr>
      <w:rPr>
        <w:lang w:val="en-US" w:eastAsia="en-US" w:bidi="en-US"/>
      </w:rPr>
    </w:lvl>
  </w:abstractNum>
  <w:abstractNum w:abstractNumId="17" w15:restartNumberingAfterBreak="0">
    <w:nsid w:val="5C4342D8"/>
    <w:multiLevelType w:val="hybridMultilevel"/>
    <w:tmpl w:val="F5DCAA76"/>
    <w:lvl w:ilvl="0" w:tplc="F6304A48">
      <w:start w:val="1"/>
      <w:numFmt w:val="decimal"/>
      <w:lvlText w:val="(%1)"/>
      <w:lvlJc w:val="left"/>
      <w:pPr>
        <w:ind w:left="390" w:hanging="281"/>
      </w:pPr>
      <w:rPr>
        <w:rFonts w:ascii="Arial" w:eastAsia="FlamaSemicondensed-Light" w:hAnsi="Arial" w:cs="Arial" w:hint="default"/>
        <w:color w:val="231F20"/>
        <w:spacing w:val="-2"/>
        <w:w w:val="100"/>
        <w:sz w:val="18"/>
        <w:szCs w:val="18"/>
        <w:lang w:val="en-US" w:eastAsia="en-US" w:bidi="en-US"/>
      </w:rPr>
    </w:lvl>
    <w:lvl w:ilvl="1" w:tplc="07AE0996">
      <w:numFmt w:val="bullet"/>
      <w:lvlText w:val="•"/>
      <w:lvlJc w:val="left"/>
      <w:pPr>
        <w:ind w:left="1476" w:hanging="281"/>
      </w:pPr>
      <w:rPr>
        <w:lang w:val="en-US" w:eastAsia="en-US" w:bidi="en-US"/>
      </w:rPr>
    </w:lvl>
    <w:lvl w:ilvl="2" w:tplc="FC841B6E">
      <w:numFmt w:val="bullet"/>
      <w:lvlText w:val="•"/>
      <w:lvlJc w:val="left"/>
      <w:pPr>
        <w:ind w:left="2553" w:hanging="281"/>
      </w:pPr>
      <w:rPr>
        <w:lang w:val="en-US" w:eastAsia="en-US" w:bidi="en-US"/>
      </w:rPr>
    </w:lvl>
    <w:lvl w:ilvl="3" w:tplc="B980D4E0">
      <w:numFmt w:val="bullet"/>
      <w:lvlText w:val="•"/>
      <w:lvlJc w:val="left"/>
      <w:pPr>
        <w:ind w:left="3629" w:hanging="281"/>
      </w:pPr>
      <w:rPr>
        <w:lang w:val="en-US" w:eastAsia="en-US" w:bidi="en-US"/>
      </w:rPr>
    </w:lvl>
    <w:lvl w:ilvl="4" w:tplc="1388B74E">
      <w:numFmt w:val="bullet"/>
      <w:lvlText w:val="•"/>
      <w:lvlJc w:val="left"/>
      <w:pPr>
        <w:ind w:left="4706" w:hanging="281"/>
      </w:pPr>
      <w:rPr>
        <w:lang w:val="en-US" w:eastAsia="en-US" w:bidi="en-US"/>
      </w:rPr>
    </w:lvl>
    <w:lvl w:ilvl="5" w:tplc="D2FE1298">
      <w:numFmt w:val="bullet"/>
      <w:lvlText w:val="•"/>
      <w:lvlJc w:val="left"/>
      <w:pPr>
        <w:ind w:left="5782" w:hanging="281"/>
      </w:pPr>
      <w:rPr>
        <w:lang w:val="en-US" w:eastAsia="en-US" w:bidi="en-US"/>
      </w:rPr>
    </w:lvl>
    <w:lvl w:ilvl="6" w:tplc="8E58442C">
      <w:numFmt w:val="bullet"/>
      <w:lvlText w:val="•"/>
      <w:lvlJc w:val="left"/>
      <w:pPr>
        <w:ind w:left="6859" w:hanging="281"/>
      </w:pPr>
      <w:rPr>
        <w:lang w:val="en-US" w:eastAsia="en-US" w:bidi="en-US"/>
      </w:rPr>
    </w:lvl>
    <w:lvl w:ilvl="7" w:tplc="C1125ACE">
      <w:numFmt w:val="bullet"/>
      <w:lvlText w:val="•"/>
      <w:lvlJc w:val="left"/>
      <w:pPr>
        <w:ind w:left="7935" w:hanging="281"/>
      </w:pPr>
      <w:rPr>
        <w:lang w:val="en-US" w:eastAsia="en-US" w:bidi="en-US"/>
      </w:rPr>
    </w:lvl>
    <w:lvl w:ilvl="8" w:tplc="11902FBC">
      <w:numFmt w:val="bullet"/>
      <w:lvlText w:val="•"/>
      <w:lvlJc w:val="left"/>
      <w:pPr>
        <w:ind w:left="9012" w:hanging="281"/>
      </w:pPr>
      <w:rPr>
        <w:lang w:val="en-US" w:eastAsia="en-US" w:bidi="en-US"/>
      </w:rPr>
    </w:lvl>
  </w:abstractNum>
  <w:abstractNum w:abstractNumId="18" w15:restartNumberingAfterBreak="0">
    <w:nsid w:val="5E466960"/>
    <w:multiLevelType w:val="hybridMultilevel"/>
    <w:tmpl w:val="B650AB90"/>
    <w:lvl w:ilvl="0" w:tplc="E084D9CA">
      <w:start w:val="7"/>
      <w:numFmt w:val="decimal"/>
      <w:lvlText w:val="(%1)"/>
      <w:lvlJc w:val="left"/>
      <w:pPr>
        <w:ind w:left="641" w:hanging="281"/>
      </w:pPr>
      <w:rPr>
        <w:rFonts w:ascii="Arial" w:eastAsia="FlamaSemicondensed-Light" w:hAnsi="Arial" w:cs="Arial" w:hint="default"/>
        <w:color w:val="231F20"/>
        <w:spacing w:val="-8"/>
        <w:w w:val="100"/>
        <w:sz w:val="18"/>
        <w:szCs w:val="1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4FA15A3"/>
    <w:multiLevelType w:val="hybridMultilevel"/>
    <w:tmpl w:val="937C6FFA"/>
    <w:lvl w:ilvl="0" w:tplc="1B90EC2A">
      <w:start w:val="1"/>
      <w:numFmt w:val="lowerLetter"/>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6A7678D"/>
    <w:multiLevelType w:val="hybridMultilevel"/>
    <w:tmpl w:val="A5E4C4C2"/>
    <w:lvl w:ilvl="0" w:tplc="621E8B8E">
      <w:start w:val="1"/>
      <w:numFmt w:val="lowerRoman"/>
      <w:lvlText w:val="(%1)"/>
      <w:lvlJc w:val="left"/>
      <w:pPr>
        <w:ind w:left="720" w:hanging="360"/>
      </w:pPr>
      <w:rPr>
        <w:rFonts w:ascii="Arial" w:eastAsia="FlamaSemicondensed-Light" w:hAnsi="Arial" w:cs="Arial" w:hint="default"/>
        <w:color w:val="231F20"/>
        <w:spacing w:val="-4"/>
        <w:w w:val="100"/>
        <w:sz w:val="18"/>
        <w:szCs w:val="18"/>
        <w:lang w:val="en-US" w:eastAsia="en-US" w:bidi="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9FF289E"/>
    <w:multiLevelType w:val="hybridMultilevel"/>
    <w:tmpl w:val="C7B865D4"/>
    <w:lvl w:ilvl="0" w:tplc="0DCCA184">
      <w:start w:val="1"/>
      <w:numFmt w:val="decimal"/>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254FFE"/>
    <w:multiLevelType w:val="hybridMultilevel"/>
    <w:tmpl w:val="CDFCB7C4"/>
    <w:lvl w:ilvl="0" w:tplc="7F78C5B0">
      <w:start w:val="1"/>
      <w:numFmt w:val="decimal"/>
      <w:lvlText w:val="(%1)"/>
      <w:lvlJc w:val="left"/>
      <w:pPr>
        <w:ind w:left="390" w:hanging="281"/>
      </w:pPr>
      <w:rPr>
        <w:rFonts w:ascii="Arial" w:eastAsia="FlamaSemicondensed-Light" w:hAnsi="Arial" w:cs="Arial" w:hint="default"/>
        <w:color w:val="231F20"/>
        <w:spacing w:val="-8"/>
        <w:w w:val="100"/>
        <w:sz w:val="18"/>
        <w:szCs w:val="18"/>
        <w:lang w:val="en-US" w:eastAsia="en-US" w:bidi="en-US"/>
      </w:rPr>
    </w:lvl>
    <w:lvl w:ilvl="1" w:tplc="7AB0153C">
      <w:start w:val="1"/>
      <w:numFmt w:val="lowerLetter"/>
      <w:lvlText w:val="(%2)"/>
      <w:lvlJc w:val="left"/>
      <w:pPr>
        <w:ind w:left="650" w:hanging="260"/>
      </w:pPr>
      <w:rPr>
        <w:rFonts w:ascii="Arial" w:eastAsia="FlamaSemicondensed-Light" w:hAnsi="Arial" w:cs="Arial" w:hint="default"/>
        <w:color w:val="231F20"/>
        <w:spacing w:val="-8"/>
        <w:w w:val="100"/>
        <w:sz w:val="18"/>
        <w:szCs w:val="18"/>
        <w:lang w:val="en-US" w:eastAsia="en-US" w:bidi="en-US"/>
      </w:rPr>
    </w:lvl>
    <w:lvl w:ilvl="2" w:tplc="E4DA0A9A">
      <w:numFmt w:val="bullet"/>
      <w:lvlText w:val="•"/>
      <w:lvlJc w:val="left"/>
      <w:pPr>
        <w:ind w:left="1827" w:hanging="260"/>
      </w:pPr>
      <w:rPr>
        <w:lang w:val="en-US" w:eastAsia="en-US" w:bidi="en-US"/>
      </w:rPr>
    </w:lvl>
    <w:lvl w:ilvl="3" w:tplc="0D62A5FE">
      <w:numFmt w:val="bullet"/>
      <w:lvlText w:val="•"/>
      <w:lvlJc w:val="left"/>
      <w:pPr>
        <w:ind w:left="2994" w:hanging="260"/>
      </w:pPr>
      <w:rPr>
        <w:lang w:val="en-US" w:eastAsia="en-US" w:bidi="en-US"/>
      </w:rPr>
    </w:lvl>
    <w:lvl w:ilvl="4" w:tplc="8DD0091C">
      <w:numFmt w:val="bullet"/>
      <w:lvlText w:val="•"/>
      <w:lvlJc w:val="left"/>
      <w:pPr>
        <w:ind w:left="4161" w:hanging="260"/>
      </w:pPr>
      <w:rPr>
        <w:lang w:val="en-US" w:eastAsia="en-US" w:bidi="en-US"/>
      </w:rPr>
    </w:lvl>
    <w:lvl w:ilvl="5" w:tplc="F7620E04">
      <w:numFmt w:val="bullet"/>
      <w:lvlText w:val="•"/>
      <w:lvlJc w:val="left"/>
      <w:pPr>
        <w:ind w:left="5329" w:hanging="260"/>
      </w:pPr>
      <w:rPr>
        <w:lang w:val="en-US" w:eastAsia="en-US" w:bidi="en-US"/>
      </w:rPr>
    </w:lvl>
    <w:lvl w:ilvl="6" w:tplc="0158E868">
      <w:numFmt w:val="bullet"/>
      <w:lvlText w:val="•"/>
      <w:lvlJc w:val="left"/>
      <w:pPr>
        <w:ind w:left="6496" w:hanging="260"/>
      </w:pPr>
      <w:rPr>
        <w:lang w:val="en-US" w:eastAsia="en-US" w:bidi="en-US"/>
      </w:rPr>
    </w:lvl>
    <w:lvl w:ilvl="7" w:tplc="A6382E96">
      <w:numFmt w:val="bullet"/>
      <w:lvlText w:val="•"/>
      <w:lvlJc w:val="left"/>
      <w:pPr>
        <w:ind w:left="7663" w:hanging="260"/>
      </w:pPr>
      <w:rPr>
        <w:lang w:val="en-US" w:eastAsia="en-US" w:bidi="en-US"/>
      </w:rPr>
    </w:lvl>
    <w:lvl w:ilvl="8" w:tplc="9D38E856">
      <w:numFmt w:val="bullet"/>
      <w:lvlText w:val="•"/>
      <w:lvlJc w:val="left"/>
      <w:pPr>
        <w:ind w:left="8830" w:hanging="260"/>
      </w:pPr>
      <w:rPr>
        <w:lang w:val="en-US" w:eastAsia="en-US" w:bidi="en-US"/>
      </w:rPr>
    </w:lvl>
  </w:abstractNum>
  <w:abstractNum w:abstractNumId="23" w15:restartNumberingAfterBreak="0">
    <w:nsid w:val="6F0F6AB1"/>
    <w:multiLevelType w:val="hybridMultilevel"/>
    <w:tmpl w:val="CE46D782"/>
    <w:lvl w:ilvl="0" w:tplc="EEA834B2">
      <w:start w:val="1"/>
      <w:numFmt w:val="lowerLetter"/>
      <w:lvlText w:val="(%1)"/>
      <w:lvlJc w:val="left"/>
      <w:pPr>
        <w:ind w:left="720" w:hanging="360"/>
      </w:pPr>
      <w:rPr>
        <w:rFonts w:ascii="Arial" w:eastAsia="FlamaSemicondensed-Light" w:hAnsi="Arial" w:cs="Arial" w:hint="default"/>
        <w:color w:val="231F20"/>
        <w:spacing w:val="-3"/>
        <w:w w:val="100"/>
        <w:sz w:val="18"/>
        <w:szCs w:val="18"/>
        <w:lang w:val="en-US" w:eastAsia="en-US" w:bidi="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04F4F85"/>
    <w:multiLevelType w:val="hybridMultilevel"/>
    <w:tmpl w:val="67E093E2"/>
    <w:lvl w:ilvl="0" w:tplc="0DCCA184">
      <w:start w:val="1"/>
      <w:numFmt w:val="decimal"/>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98A7BEC"/>
    <w:multiLevelType w:val="hybridMultilevel"/>
    <w:tmpl w:val="9BE0664E"/>
    <w:lvl w:ilvl="0" w:tplc="0DCCA184">
      <w:start w:val="1"/>
      <w:numFmt w:val="decimal"/>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FE53F21"/>
    <w:multiLevelType w:val="hybridMultilevel"/>
    <w:tmpl w:val="164471A8"/>
    <w:lvl w:ilvl="0" w:tplc="1B90EC2A">
      <w:start w:val="1"/>
      <w:numFmt w:val="lowerLetter"/>
      <w:lvlText w:val="(%1)"/>
      <w:lvlJc w:val="left"/>
      <w:pPr>
        <w:ind w:left="720" w:hanging="360"/>
      </w:pPr>
      <w:rPr>
        <w:rFonts w:ascii="Arial" w:eastAsia="FlamaSemicondensed-Light" w:hAnsi="Arial" w:cs="Arial" w:hint="default"/>
        <w:color w:val="231F20"/>
        <w:spacing w:val="-8"/>
        <w:w w:val="100"/>
        <w:sz w:val="18"/>
        <w:szCs w:val="18"/>
        <w:lang w:val="en-US" w:eastAsia="en-US" w:bidi="en-U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05813454">
    <w:abstractNumId w:val="17"/>
  </w:num>
  <w:num w:numId="2" w16cid:durableId="1516194285">
    <w:abstractNumId w:val="17"/>
    <w:lvlOverride w:ilvl="0">
      <w:startOverride w:val="1"/>
    </w:lvlOverride>
    <w:lvlOverride w:ilvl="1"/>
    <w:lvlOverride w:ilvl="2"/>
    <w:lvlOverride w:ilvl="3"/>
    <w:lvlOverride w:ilvl="4"/>
    <w:lvlOverride w:ilvl="5"/>
    <w:lvlOverride w:ilvl="6"/>
    <w:lvlOverride w:ilvl="7"/>
    <w:lvlOverride w:ilvl="8"/>
  </w:num>
  <w:num w:numId="3" w16cid:durableId="358359166">
    <w:abstractNumId w:val="0"/>
  </w:num>
  <w:num w:numId="4" w16cid:durableId="73238768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74210277">
    <w:abstractNumId w:val="5"/>
  </w:num>
  <w:num w:numId="6" w16cid:durableId="1860660336">
    <w:abstractNumId w:val="5"/>
    <w:lvlOverride w:ilvl="0">
      <w:startOverride w:val="1"/>
    </w:lvlOverride>
    <w:lvlOverride w:ilvl="1"/>
    <w:lvlOverride w:ilvl="2"/>
    <w:lvlOverride w:ilvl="3"/>
    <w:lvlOverride w:ilvl="4"/>
    <w:lvlOverride w:ilvl="5"/>
    <w:lvlOverride w:ilvl="6"/>
    <w:lvlOverride w:ilvl="7"/>
    <w:lvlOverride w:ilvl="8"/>
  </w:num>
  <w:num w:numId="7" w16cid:durableId="1671714376">
    <w:abstractNumId w:val="16"/>
  </w:num>
  <w:num w:numId="8" w16cid:durableId="1216821074">
    <w:abstractNumId w:val="16"/>
  </w:num>
  <w:num w:numId="9" w16cid:durableId="538319997">
    <w:abstractNumId w:val="22"/>
  </w:num>
  <w:num w:numId="10" w16cid:durableId="581647580">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322927261">
    <w:abstractNumId w:val="1"/>
  </w:num>
  <w:num w:numId="12" w16cid:durableId="2032490967">
    <w:abstractNumId w:val="7"/>
  </w:num>
  <w:num w:numId="13" w16cid:durableId="1580863455">
    <w:abstractNumId w:val="14"/>
  </w:num>
  <w:num w:numId="14" w16cid:durableId="1167794312">
    <w:abstractNumId w:val="4"/>
  </w:num>
  <w:num w:numId="15" w16cid:durableId="1196043870">
    <w:abstractNumId w:val="21"/>
  </w:num>
  <w:num w:numId="16" w16cid:durableId="239798275">
    <w:abstractNumId w:val="25"/>
  </w:num>
  <w:num w:numId="17" w16cid:durableId="175508698">
    <w:abstractNumId w:val="13"/>
  </w:num>
  <w:num w:numId="18" w16cid:durableId="356128876">
    <w:abstractNumId w:val="23"/>
  </w:num>
  <w:num w:numId="19" w16cid:durableId="238251511">
    <w:abstractNumId w:val="20"/>
  </w:num>
  <w:num w:numId="20" w16cid:durableId="1530680570">
    <w:abstractNumId w:val="3"/>
  </w:num>
  <w:num w:numId="21" w16cid:durableId="225191772">
    <w:abstractNumId w:val="19"/>
  </w:num>
  <w:num w:numId="22" w16cid:durableId="143353923">
    <w:abstractNumId w:val="10"/>
  </w:num>
  <w:num w:numId="23" w16cid:durableId="1143503124">
    <w:abstractNumId w:val="24"/>
  </w:num>
  <w:num w:numId="24" w16cid:durableId="194923945">
    <w:abstractNumId w:val="8"/>
  </w:num>
  <w:num w:numId="25" w16cid:durableId="2030638261">
    <w:abstractNumId w:val="2"/>
  </w:num>
  <w:num w:numId="26" w16cid:durableId="1825004218">
    <w:abstractNumId w:val="18"/>
  </w:num>
  <w:num w:numId="27" w16cid:durableId="1937128782">
    <w:abstractNumId w:val="15"/>
  </w:num>
  <w:num w:numId="28" w16cid:durableId="1597447657">
    <w:abstractNumId w:val="12"/>
  </w:num>
  <w:num w:numId="29" w16cid:durableId="764964631">
    <w:abstractNumId w:val="26"/>
  </w:num>
  <w:num w:numId="30" w16cid:durableId="1146623695">
    <w:abstractNumId w:val="11"/>
  </w:num>
  <w:num w:numId="31" w16cid:durableId="261961270">
    <w:abstractNumId w:val="9"/>
  </w:num>
  <w:num w:numId="32" w16cid:durableId="1093554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C0"/>
    <w:rsid w:val="000F0476"/>
    <w:rsid w:val="001179F3"/>
    <w:rsid w:val="00285923"/>
    <w:rsid w:val="002B6B2B"/>
    <w:rsid w:val="002D4FE9"/>
    <w:rsid w:val="003066D6"/>
    <w:rsid w:val="003124C0"/>
    <w:rsid w:val="00320578"/>
    <w:rsid w:val="00372F9A"/>
    <w:rsid w:val="003B1037"/>
    <w:rsid w:val="005575B2"/>
    <w:rsid w:val="0059356E"/>
    <w:rsid w:val="00634EB9"/>
    <w:rsid w:val="00772778"/>
    <w:rsid w:val="00785CAC"/>
    <w:rsid w:val="007874FE"/>
    <w:rsid w:val="00824792"/>
    <w:rsid w:val="0089785F"/>
    <w:rsid w:val="0092278B"/>
    <w:rsid w:val="009A4B19"/>
    <w:rsid w:val="00B2406F"/>
    <w:rsid w:val="00BC3496"/>
    <w:rsid w:val="00D02307"/>
    <w:rsid w:val="00E456E6"/>
    <w:rsid w:val="00FD1944"/>
    <w:rsid w:val="00FE58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6A1F"/>
  <w15:docId w15:val="{99F64582-F6AB-4D6D-B0E3-AB62721A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D1944"/>
    <w:pPr>
      <w:keepNext/>
      <w:keepLines/>
      <w:spacing w:before="480"/>
      <w:outlineLvl w:val="0"/>
    </w:pPr>
    <w:rPr>
      <w:rFonts w:eastAsiaTheme="majorEastAsia" w:cstheme="majorBidi"/>
      <w:b/>
      <w:bCs/>
      <w:sz w:val="40"/>
      <w:szCs w:val="28"/>
    </w:rPr>
  </w:style>
  <w:style w:type="paragraph" w:styleId="Heading2">
    <w:name w:val="heading 2"/>
    <w:basedOn w:val="Normal"/>
    <w:next w:val="Normal"/>
    <w:link w:val="Heading2Char"/>
    <w:uiPriority w:val="1"/>
    <w:unhideWhenUsed/>
    <w:qFormat/>
    <w:rsid w:val="00FD1944"/>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1"/>
    <w:unhideWhenUsed/>
    <w:qFormat/>
    <w:rsid w:val="00FD1944"/>
    <w:pPr>
      <w:keepNext/>
      <w:keepLines/>
      <w:spacing w:before="200"/>
      <w:outlineLvl w:val="2"/>
    </w:pPr>
    <w:rPr>
      <w:rFonts w:eastAsiaTheme="majorEastAsia" w:cstheme="majorBidi"/>
      <w:bCs/>
      <w:sz w:val="32"/>
    </w:rPr>
  </w:style>
  <w:style w:type="paragraph" w:styleId="Heading4">
    <w:name w:val="heading 4"/>
    <w:basedOn w:val="Normal"/>
    <w:next w:val="Normal"/>
    <w:link w:val="Heading4Char"/>
    <w:uiPriority w:val="9"/>
    <w:unhideWhenUsed/>
    <w:qFormat/>
    <w:rsid w:val="00FE5875"/>
    <w:pPr>
      <w:keepNext/>
      <w:keepLines/>
      <w:spacing w:before="4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124C0"/>
    <w:pPr>
      <w:ind w:left="720"/>
      <w:contextualSpacing/>
    </w:pPr>
  </w:style>
  <w:style w:type="character" w:customStyle="1" w:styleId="Heading1Char">
    <w:name w:val="Heading 1 Char"/>
    <w:basedOn w:val="DefaultParagraphFont"/>
    <w:link w:val="Heading1"/>
    <w:uiPriority w:val="1"/>
    <w:rsid w:val="00FD1944"/>
    <w:rPr>
      <w:rFonts w:eastAsiaTheme="majorEastAsia" w:cstheme="majorBidi"/>
      <w:b/>
      <w:bCs/>
      <w:sz w:val="40"/>
      <w:szCs w:val="28"/>
    </w:rPr>
  </w:style>
  <w:style w:type="character" w:customStyle="1" w:styleId="Heading2Char">
    <w:name w:val="Heading 2 Char"/>
    <w:basedOn w:val="DefaultParagraphFont"/>
    <w:link w:val="Heading2"/>
    <w:uiPriority w:val="1"/>
    <w:rsid w:val="00FD1944"/>
    <w:rPr>
      <w:rFonts w:eastAsiaTheme="majorEastAsia" w:cstheme="majorBidi"/>
      <w:b/>
      <w:bCs/>
      <w:sz w:val="32"/>
      <w:szCs w:val="26"/>
    </w:rPr>
  </w:style>
  <w:style w:type="character" w:customStyle="1" w:styleId="Heading3Char">
    <w:name w:val="Heading 3 Char"/>
    <w:basedOn w:val="DefaultParagraphFont"/>
    <w:link w:val="Heading3"/>
    <w:uiPriority w:val="1"/>
    <w:rsid w:val="00FD1944"/>
    <w:rPr>
      <w:rFonts w:eastAsiaTheme="majorEastAsia" w:cstheme="majorBidi"/>
      <w:bCs/>
      <w:sz w:val="32"/>
    </w:rPr>
  </w:style>
  <w:style w:type="character" w:customStyle="1" w:styleId="Heading4Char">
    <w:name w:val="Heading 4 Char"/>
    <w:basedOn w:val="DefaultParagraphFont"/>
    <w:link w:val="Heading4"/>
    <w:uiPriority w:val="9"/>
    <w:rsid w:val="00FE5875"/>
    <w:rPr>
      <w:rFonts w:eastAsiaTheme="majorEastAsia" w:cstheme="majorBidi"/>
      <w:b/>
      <w:iCs/>
      <w:sz w:val="28"/>
    </w:rPr>
  </w:style>
  <w:style w:type="paragraph" w:styleId="Header">
    <w:name w:val="header"/>
    <w:basedOn w:val="Normal"/>
    <w:link w:val="HeaderChar"/>
    <w:uiPriority w:val="99"/>
    <w:unhideWhenUsed/>
    <w:rsid w:val="00FE5875"/>
    <w:pPr>
      <w:tabs>
        <w:tab w:val="center" w:pos="4513"/>
        <w:tab w:val="right" w:pos="9026"/>
      </w:tabs>
    </w:pPr>
  </w:style>
  <w:style w:type="character" w:customStyle="1" w:styleId="HeaderChar">
    <w:name w:val="Header Char"/>
    <w:basedOn w:val="DefaultParagraphFont"/>
    <w:link w:val="Header"/>
    <w:uiPriority w:val="99"/>
    <w:rsid w:val="00FE5875"/>
  </w:style>
  <w:style w:type="paragraph" w:styleId="Footer">
    <w:name w:val="footer"/>
    <w:basedOn w:val="Normal"/>
    <w:link w:val="FooterChar"/>
    <w:uiPriority w:val="99"/>
    <w:unhideWhenUsed/>
    <w:rsid w:val="00FE5875"/>
    <w:pPr>
      <w:tabs>
        <w:tab w:val="center" w:pos="4513"/>
        <w:tab w:val="right" w:pos="9026"/>
      </w:tabs>
    </w:pPr>
  </w:style>
  <w:style w:type="character" w:customStyle="1" w:styleId="FooterChar">
    <w:name w:val="Footer Char"/>
    <w:basedOn w:val="DefaultParagraphFont"/>
    <w:link w:val="Footer"/>
    <w:uiPriority w:val="99"/>
    <w:rsid w:val="00FE5875"/>
  </w:style>
  <w:style w:type="paragraph" w:styleId="BalloonText">
    <w:name w:val="Balloon Text"/>
    <w:basedOn w:val="Normal"/>
    <w:link w:val="BalloonTextChar"/>
    <w:uiPriority w:val="99"/>
    <w:semiHidden/>
    <w:unhideWhenUsed/>
    <w:rsid w:val="009A4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B19"/>
    <w:rPr>
      <w:rFonts w:ascii="Segoe UI" w:hAnsi="Segoe UI" w:cs="Segoe UI"/>
      <w:sz w:val="18"/>
      <w:szCs w:val="18"/>
    </w:rPr>
  </w:style>
  <w:style w:type="paragraph" w:customStyle="1" w:styleId="msonormal0">
    <w:name w:val="msonormal"/>
    <w:basedOn w:val="Normal"/>
    <w:rsid w:val="00B2406F"/>
    <w:pPr>
      <w:spacing w:before="100" w:beforeAutospacing="1" w:after="100" w:afterAutospacing="1"/>
    </w:pPr>
    <w:rPr>
      <w:rFonts w:ascii="Times New Roman" w:eastAsia="Times New Roman" w:hAnsi="Times New Roman" w:cs="Times New Roman"/>
      <w:szCs w:val="24"/>
      <w:lang w:eastAsia="en-NZ"/>
    </w:rPr>
  </w:style>
  <w:style w:type="paragraph" w:styleId="BodyText">
    <w:name w:val="Body Text"/>
    <w:basedOn w:val="Normal"/>
    <w:link w:val="BodyTextChar"/>
    <w:uiPriority w:val="1"/>
    <w:semiHidden/>
    <w:unhideWhenUsed/>
    <w:qFormat/>
    <w:rsid w:val="00B2406F"/>
    <w:pPr>
      <w:widowControl w:val="0"/>
      <w:autoSpaceDE w:val="0"/>
      <w:autoSpaceDN w:val="0"/>
      <w:spacing w:before="67"/>
      <w:ind w:left="650" w:hanging="260"/>
    </w:pPr>
    <w:rPr>
      <w:rFonts w:ascii="FlamaSemicondensed-Light" w:eastAsia="FlamaSemicondensed-Light" w:hAnsi="FlamaSemicondensed-Light" w:cs="FlamaSemicondensed-Light"/>
      <w:sz w:val="18"/>
      <w:szCs w:val="18"/>
      <w:lang w:val="en-US" w:bidi="en-US"/>
    </w:rPr>
  </w:style>
  <w:style w:type="character" w:customStyle="1" w:styleId="BodyTextChar">
    <w:name w:val="Body Text Char"/>
    <w:basedOn w:val="DefaultParagraphFont"/>
    <w:link w:val="BodyText"/>
    <w:uiPriority w:val="1"/>
    <w:semiHidden/>
    <w:rsid w:val="00B2406F"/>
    <w:rPr>
      <w:rFonts w:ascii="FlamaSemicondensed-Light" w:eastAsia="FlamaSemicondensed-Light" w:hAnsi="FlamaSemicondensed-Light" w:cs="FlamaSemicondensed-Light"/>
      <w:sz w:val="18"/>
      <w:szCs w:val="18"/>
      <w:lang w:val="en-US" w:bidi="en-US"/>
    </w:rPr>
  </w:style>
  <w:style w:type="paragraph" w:customStyle="1" w:styleId="TableParagraph">
    <w:name w:val="Table Paragraph"/>
    <w:basedOn w:val="Normal"/>
    <w:uiPriority w:val="1"/>
    <w:qFormat/>
    <w:rsid w:val="00B2406F"/>
    <w:pPr>
      <w:widowControl w:val="0"/>
      <w:autoSpaceDE w:val="0"/>
      <w:autoSpaceDN w:val="0"/>
      <w:spacing w:before="72"/>
      <w:ind w:left="79"/>
    </w:pPr>
    <w:rPr>
      <w:rFonts w:ascii="FlamaSemicondensed-Light" w:eastAsia="FlamaSemicondensed-Light" w:hAnsi="FlamaSemicondensed-Light" w:cs="FlamaSemicondensed-Light"/>
      <w:sz w:val="22"/>
      <w:lang w:val="en-US" w:bidi="en-US"/>
    </w:rPr>
  </w:style>
  <w:style w:type="paragraph" w:styleId="NoSpacing">
    <w:name w:val="No Spacing"/>
    <w:uiPriority w:val="1"/>
    <w:qFormat/>
    <w:rsid w:val="00772778"/>
  </w:style>
  <w:style w:type="character" w:styleId="Hyperlink">
    <w:name w:val="Hyperlink"/>
    <w:basedOn w:val="DefaultParagraphFont"/>
    <w:uiPriority w:val="99"/>
    <w:unhideWhenUsed/>
    <w:rsid w:val="003066D6"/>
    <w:rPr>
      <w:color w:val="0000FF" w:themeColor="hyperlink"/>
      <w:u w:val="single"/>
    </w:rPr>
  </w:style>
  <w:style w:type="character" w:styleId="FollowedHyperlink">
    <w:name w:val="FollowedHyperlink"/>
    <w:basedOn w:val="DefaultParagraphFont"/>
    <w:uiPriority w:val="99"/>
    <w:semiHidden/>
    <w:unhideWhenUsed/>
    <w:rsid w:val="008978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0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9/0080/262.0/DLM175959.html" TargetMode="External"/><Relationship Id="rId3" Type="http://schemas.openxmlformats.org/officeDocument/2006/relationships/settings" Target="settings.xml"/><Relationship Id="rId7" Type="http://schemas.openxmlformats.org/officeDocument/2006/relationships/hyperlink" Target="https://www.nzsta.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Janny Cooke</dc:creator>
  <cp:lastModifiedBy>Janny Cooke</cp:lastModifiedBy>
  <cp:revision>3</cp:revision>
  <cp:lastPrinted>2022-10-05T19:51:00Z</cp:lastPrinted>
  <dcterms:created xsi:type="dcterms:W3CDTF">2022-11-02T23:20:00Z</dcterms:created>
  <dcterms:modified xsi:type="dcterms:W3CDTF">2022-11-02T23:22:00Z</dcterms:modified>
</cp:coreProperties>
</file>