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5AAA" w14:textId="158D1FF3" w:rsidR="005A2910" w:rsidRDefault="006511D1" w:rsidP="005A2910">
      <w:pPr>
        <w:pStyle w:val="Heading1"/>
      </w:pPr>
      <w:r>
        <w:t xml:space="preserve">Operational Policy: </w:t>
      </w:r>
      <w:r w:rsidR="00CD05F8">
        <w:t xml:space="preserve">Relationships and </w:t>
      </w:r>
      <w:r w:rsidR="005A2910">
        <w:t>Sexual</w:t>
      </w:r>
      <w:r w:rsidR="00806ECD">
        <w:t>ity</w:t>
      </w:r>
      <w:r w:rsidR="005A2910">
        <w:t xml:space="preserve"> Education</w:t>
      </w:r>
      <w:r>
        <w:t xml:space="preserve"> (NAG 1)</w:t>
      </w:r>
    </w:p>
    <w:p w14:paraId="054FC326" w14:textId="17C09C0A" w:rsidR="006511D1" w:rsidRDefault="006511D1" w:rsidP="005A2910">
      <w:pPr>
        <w:pStyle w:val="Heading2"/>
      </w:pPr>
      <w:r>
        <w:t>Blind &amp; Low Vision Education Network NZ</w:t>
      </w:r>
    </w:p>
    <w:p w14:paraId="2E40A208" w14:textId="620F7030" w:rsidR="003979DC" w:rsidRDefault="007C7F63" w:rsidP="005A2910">
      <w:pPr>
        <w:pStyle w:val="Heading2"/>
      </w:pPr>
      <w:r>
        <w:t>Statement of Intent</w:t>
      </w:r>
    </w:p>
    <w:p w14:paraId="0094D8BD" w14:textId="5FC87CB9" w:rsidR="003979DC" w:rsidRDefault="003979DC" w:rsidP="003979DC">
      <w:r>
        <w:t xml:space="preserve">The purpose of this policy is to provide guidelines for </w:t>
      </w:r>
      <w:r w:rsidR="005A2910">
        <w:t>BLENNZ</w:t>
      </w:r>
      <w:r>
        <w:t xml:space="preserve"> to ensure that sexual</w:t>
      </w:r>
      <w:r w:rsidR="00FA01CD">
        <w:t>ity</w:t>
      </w:r>
      <w:r>
        <w:t xml:space="preserve"> education is delivered in a responsible</w:t>
      </w:r>
      <w:r w:rsidR="005A2910">
        <w:t xml:space="preserve">, inclusive, </w:t>
      </w:r>
      <w:r w:rsidR="000D02F5">
        <w:t>accessible,</w:t>
      </w:r>
      <w:r w:rsidR="005A2910">
        <w:t xml:space="preserve"> </w:t>
      </w:r>
      <w:r>
        <w:t>and age-appropriate manner.</w:t>
      </w:r>
    </w:p>
    <w:p w14:paraId="70F6153B" w14:textId="50067288" w:rsidR="00341B2D" w:rsidRDefault="00341B2D" w:rsidP="00341B2D">
      <w:r>
        <w:t>The Ministry of Education sets the national curriculum for sexual</w:t>
      </w:r>
      <w:r w:rsidR="00FA5A1A">
        <w:t>ity</w:t>
      </w:r>
      <w:r>
        <w:t xml:space="preserve"> education in New Zealand. BLENNZ must comply with this curriculum and ensure that it is delivered in an appropriate manner for all </w:t>
      </w:r>
      <w:proofErr w:type="spellStart"/>
      <w:r>
        <w:t>ākonga</w:t>
      </w:r>
      <w:proofErr w:type="spellEnd"/>
      <w:r w:rsidR="006511D1">
        <w:t xml:space="preserve">, in partnership with whānau and where appropriate, other </w:t>
      </w:r>
      <w:r w:rsidR="001E5AEA">
        <w:t xml:space="preserve">local </w:t>
      </w:r>
      <w:r w:rsidR="006511D1">
        <w:t>educational settings.</w:t>
      </w:r>
      <w:r>
        <w:t xml:space="preserve"> BLENNZ may also supplement the curriculum with additional information or resources that are accessible and appropriate for </w:t>
      </w:r>
      <w:proofErr w:type="spellStart"/>
      <w:r>
        <w:t>ākonga</w:t>
      </w:r>
      <w:proofErr w:type="spellEnd"/>
      <w:r>
        <w:t xml:space="preserve"> who </w:t>
      </w:r>
      <w:proofErr w:type="gramStart"/>
      <w:r>
        <w:t>a</w:t>
      </w:r>
      <w:r w:rsidR="00AF3864">
        <w:t>re</w:t>
      </w:r>
      <w:r>
        <w:t xml:space="preserve"> blind</w:t>
      </w:r>
      <w:r w:rsidR="006511D1">
        <w:t>,</w:t>
      </w:r>
      <w:r>
        <w:t xml:space="preserve"> low vision</w:t>
      </w:r>
      <w:proofErr w:type="gramEnd"/>
      <w:r w:rsidR="006511D1">
        <w:t xml:space="preserve"> or deafblind</w:t>
      </w:r>
      <w:r>
        <w:t>.</w:t>
      </w:r>
    </w:p>
    <w:p w14:paraId="68096AE0" w14:textId="571B425C" w:rsidR="003979DC" w:rsidRDefault="003979DC" w:rsidP="003979DC">
      <w:r>
        <w:t xml:space="preserve">This policy applies to all </w:t>
      </w:r>
      <w:proofErr w:type="spellStart"/>
      <w:r w:rsidR="005A2910">
        <w:t>ākonga</w:t>
      </w:r>
      <w:proofErr w:type="spellEnd"/>
      <w:r>
        <w:t xml:space="preserve"> enrolled in </w:t>
      </w:r>
      <w:r w:rsidR="005A2910">
        <w:t>BLENNZ</w:t>
      </w:r>
      <w:r>
        <w:t xml:space="preserve">, from early childhood to </w:t>
      </w:r>
      <w:r w:rsidR="006511D1">
        <w:t>the end of schooling.</w:t>
      </w:r>
    </w:p>
    <w:p w14:paraId="1ADE4199" w14:textId="0587AEE0" w:rsidR="003979DC" w:rsidRDefault="003979DC" w:rsidP="005A2910">
      <w:pPr>
        <w:pStyle w:val="Heading2"/>
      </w:pPr>
      <w:r>
        <w:t xml:space="preserve">Policy </w:t>
      </w:r>
      <w:r w:rsidR="006511D1">
        <w:t>Requirements</w:t>
      </w:r>
    </w:p>
    <w:p w14:paraId="5B875309" w14:textId="28283871" w:rsidR="003979DC" w:rsidRDefault="0031094F" w:rsidP="003979DC">
      <w:r>
        <w:t xml:space="preserve">Relationships and </w:t>
      </w:r>
      <w:r w:rsidR="003979DC">
        <w:t>Sexual</w:t>
      </w:r>
      <w:r w:rsidR="00FA5A1A">
        <w:t>ity</w:t>
      </w:r>
      <w:r w:rsidR="003979DC">
        <w:t xml:space="preserve"> </w:t>
      </w:r>
      <w:r>
        <w:t>E</w:t>
      </w:r>
      <w:r w:rsidR="003979DC">
        <w:t xml:space="preserve">ducation is a vital aspect of </w:t>
      </w:r>
      <w:r w:rsidR="00655725">
        <w:t>education and</w:t>
      </w:r>
      <w:r w:rsidR="003979DC">
        <w:t xml:space="preserve"> is an integral part of </w:t>
      </w:r>
      <w:r w:rsidR="00341B2D">
        <w:t>the</w:t>
      </w:r>
      <w:r w:rsidR="003979DC">
        <w:t xml:space="preserve"> </w:t>
      </w:r>
      <w:r w:rsidR="00341B2D">
        <w:t xml:space="preserve">holistic development of </w:t>
      </w:r>
      <w:proofErr w:type="spellStart"/>
      <w:r w:rsidR="005A2910">
        <w:t>ākonga</w:t>
      </w:r>
      <w:proofErr w:type="spellEnd"/>
      <w:r w:rsidR="00341B2D">
        <w:t xml:space="preserve">. </w:t>
      </w:r>
      <w:r w:rsidR="003979DC">
        <w:t xml:space="preserve">It is the responsibility of </w:t>
      </w:r>
      <w:r w:rsidR="005A2910">
        <w:t>BLENNZ</w:t>
      </w:r>
      <w:r w:rsidR="001E5AEA">
        <w:t xml:space="preserve">, in partnership with </w:t>
      </w:r>
      <w:r w:rsidR="001E5AEA">
        <w:rPr>
          <w:lang w:val="mi-NZ"/>
        </w:rPr>
        <w:t xml:space="preserve">whānau and other educational settings, </w:t>
      </w:r>
      <w:r w:rsidR="003979DC">
        <w:t xml:space="preserve">to provide </w:t>
      </w:r>
      <w:proofErr w:type="spellStart"/>
      <w:r w:rsidR="005A2910">
        <w:t>ākonga</w:t>
      </w:r>
      <w:proofErr w:type="spellEnd"/>
      <w:r w:rsidR="003979DC">
        <w:t xml:space="preserve"> with accurate, comprehensive, and age-appropriate sexual</w:t>
      </w:r>
      <w:r w:rsidR="00FA5A1A">
        <w:t>ity</w:t>
      </w:r>
      <w:r w:rsidR="003979DC">
        <w:t xml:space="preserve"> education that promotes healthy relationships, positive attitudes towards sexuality, and safe sexual practices.</w:t>
      </w:r>
    </w:p>
    <w:p w14:paraId="06750497" w14:textId="77777777" w:rsidR="003979DC" w:rsidRDefault="003979DC" w:rsidP="005A2910">
      <w:pPr>
        <w:pStyle w:val="Heading3"/>
      </w:pPr>
      <w:r>
        <w:t>Age-Appropriateness</w:t>
      </w:r>
    </w:p>
    <w:p w14:paraId="523DC329" w14:textId="676C5427" w:rsidR="003979DC" w:rsidRDefault="0031094F" w:rsidP="003979DC">
      <w:r>
        <w:t xml:space="preserve">Relationships and </w:t>
      </w:r>
      <w:r w:rsidR="003979DC">
        <w:t>Sexual</w:t>
      </w:r>
      <w:r w:rsidR="001A09F3">
        <w:t>it</w:t>
      </w:r>
      <w:r w:rsidR="006D1629">
        <w:t>y</w:t>
      </w:r>
      <w:r w:rsidR="003979DC">
        <w:t xml:space="preserve"> </w:t>
      </w:r>
      <w:r>
        <w:t>E</w:t>
      </w:r>
      <w:r w:rsidR="003979DC">
        <w:t xml:space="preserve">ducation must be delivered in a manner that is appropriate for the age and maturity level of </w:t>
      </w:r>
      <w:proofErr w:type="spellStart"/>
      <w:r w:rsidR="005A2910">
        <w:t>ākonga</w:t>
      </w:r>
      <w:proofErr w:type="spellEnd"/>
      <w:r w:rsidR="003979DC">
        <w:t xml:space="preserve">. </w:t>
      </w:r>
      <w:r w:rsidR="005A2910">
        <w:t>BLENNZ</w:t>
      </w:r>
      <w:r w:rsidR="003979DC">
        <w:t xml:space="preserve"> must ensure that the content is not too explicit or graphic for younger </w:t>
      </w:r>
      <w:proofErr w:type="spellStart"/>
      <w:r w:rsidR="005A2910">
        <w:t>ākonga</w:t>
      </w:r>
      <w:proofErr w:type="spellEnd"/>
      <w:r w:rsidR="003979DC">
        <w:t xml:space="preserve">, and that older </w:t>
      </w:r>
      <w:proofErr w:type="spellStart"/>
      <w:r w:rsidR="005A2910">
        <w:t>ākonga</w:t>
      </w:r>
      <w:proofErr w:type="spellEnd"/>
      <w:r w:rsidR="003979DC">
        <w:t xml:space="preserve"> are provided with comprehensive information that meets their developmental needs.</w:t>
      </w:r>
    </w:p>
    <w:p w14:paraId="6CAE0E27" w14:textId="77777777" w:rsidR="003979DC" w:rsidRDefault="003979DC" w:rsidP="005A2910">
      <w:pPr>
        <w:pStyle w:val="Heading3"/>
      </w:pPr>
      <w:r>
        <w:lastRenderedPageBreak/>
        <w:t>Inclusivity and Diversity</w:t>
      </w:r>
    </w:p>
    <w:p w14:paraId="6C61EF44" w14:textId="6B6E46D5" w:rsidR="003979DC" w:rsidRDefault="0031094F" w:rsidP="003979DC">
      <w:r>
        <w:t xml:space="preserve">Relationships and </w:t>
      </w:r>
      <w:r w:rsidR="003979DC">
        <w:t>Sexual</w:t>
      </w:r>
      <w:r w:rsidR="004839D5">
        <w:t>ity</w:t>
      </w:r>
      <w:r w:rsidR="003979DC">
        <w:t xml:space="preserve"> </w:t>
      </w:r>
      <w:r>
        <w:t>E</w:t>
      </w:r>
      <w:r w:rsidR="003979DC">
        <w:t xml:space="preserve">ducation must be inclusive and respect diversity. </w:t>
      </w:r>
      <w:r w:rsidR="005A2910">
        <w:t>BLENNZ</w:t>
      </w:r>
      <w:r w:rsidR="003979DC">
        <w:t xml:space="preserve"> must ensure that all </w:t>
      </w:r>
      <w:proofErr w:type="spellStart"/>
      <w:r w:rsidR="005A2910">
        <w:t>ākonga</w:t>
      </w:r>
      <w:proofErr w:type="spellEnd"/>
      <w:r w:rsidR="003979DC">
        <w:t xml:space="preserve">, regardless of gender, sexual orientation, ethnicity, or culture, receive the same quality of education. </w:t>
      </w:r>
      <w:r>
        <w:t xml:space="preserve">Relationships and </w:t>
      </w:r>
      <w:r w:rsidR="005A2910">
        <w:t>Sexual</w:t>
      </w:r>
      <w:r w:rsidR="007948BD">
        <w:t>ity</w:t>
      </w:r>
      <w:r w:rsidR="005A2910">
        <w:t xml:space="preserve"> </w:t>
      </w:r>
      <w:r w:rsidR="00E24ED1">
        <w:t>E</w:t>
      </w:r>
      <w:r w:rsidR="005A2910">
        <w:t xml:space="preserve">ducation must be delivered in an inclusive and accessible manner. </w:t>
      </w:r>
      <w:r w:rsidR="003979DC">
        <w:t xml:space="preserve">Teachers must use inclusive language and avoid any </w:t>
      </w:r>
      <w:proofErr w:type="spellStart"/>
      <w:r w:rsidR="003979DC">
        <w:t>stigmati</w:t>
      </w:r>
      <w:r w:rsidR="006511D1">
        <w:t>s</w:t>
      </w:r>
      <w:r w:rsidR="003979DC">
        <w:t>ation</w:t>
      </w:r>
      <w:proofErr w:type="spellEnd"/>
      <w:r w:rsidR="003979DC">
        <w:t xml:space="preserve"> or discrimination of </w:t>
      </w:r>
      <w:proofErr w:type="spellStart"/>
      <w:r w:rsidR="005A2910">
        <w:t>ākonga</w:t>
      </w:r>
      <w:proofErr w:type="spellEnd"/>
      <w:r w:rsidR="003979DC">
        <w:t xml:space="preserve"> based on their sexual orientation or gender identity.</w:t>
      </w:r>
    </w:p>
    <w:p w14:paraId="24CAFF37" w14:textId="03440D43" w:rsidR="005A2910" w:rsidRDefault="005A2910" w:rsidP="005A2910">
      <w:pPr>
        <w:pStyle w:val="Heading3"/>
      </w:pPr>
      <w:proofErr w:type="spellStart"/>
      <w:r>
        <w:t>Individuali</w:t>
      </w:r>
      <w:r w:rsidR="004056FA">
        <w:t>s</w:t>
      </w:r>
      <w:r>
        <w:t>ed</w:t>
      </w:r>
      <w:proofErr w:type="spellEnd"/>
      <w:r>
        <w:t xml:space="preserve"> Education Plans (IEPs)</w:t>
      </w:r>
    </w:p>
    <w:p w14:paraId="1AAD998E" w14:textId="54C1F8AD" w:rsidR="005A2910" w:rsidRDefault="005A2910" w:rsidP="005A2910">
      <w:r>
        <w:t xml:space="preserve">BLENNZ must consider the individual needs of </w:t>
      </w:r>
      <w:proofErr w:type="spellStart"/>
      <w:r w:rsidR="00341B2D">
        <w:t>ākonga</w:t>
      </w:r>
      <w:proofErr w:type="spellEnd"/>
      <w:r>
        <w:t xml:space="preserve"> when developing their IEPs. </w:t>
      </w:r>
      <w:r w:rsidR="00341B2D">
        <w:t>Where appropriate s</w:t>
      </w:r>
      <w:r>
        <w:t>exual</w:t>
      </w:r>
      <w:r w:rsidR="00531098">
        <w:t>ity</w:t>
      </w:r>
      <w:r>
        <w:t xml:space="preserve"> education </w:t>
      </w:r>
      <w:r w:rsidR="00341B2D">
        <w:t>should</w:t>
      </w:r>
      <w:r>
        <w:t xml:space="preserve"> be included in </w:t>
      </w:r>
      <w:proofErr w:type="gramStart"/>
      <w:r>
        <w:t>IEPs, and</w:t>
      </w:r>
      <w:proofErr w:type="gramEnd"/>
      <w:r>
        <w:t xml:space="preserve"> </w:t>
      </w:r>
      <w:r w:rsidR="006511D1">
        <w:t>BLENNZ</w:t>
      </w:r>
      <w:r>
        <w:t xml:space="preserve"> must ensure that the content and delivery of sexual</w:t>
      </w:r>
      <w:r w:rsidR="00531098">
        <w:t>ity</w:t>
      </w:r>
      <w:r>
        <w:t xml:space="preserve"> education is appropriate for the individual needs of the </w:t>
      </w:r>
      <w:proofErr w:type="spellStart"/>
      <w:r w:rsidR="00341B2D">
        <w:t>ākonga</w:t>
      </w:r>
      <w:proofErr w:type="spellEnd"/>
      <w:r>
        <w:t>.</w:t>
      </w:r>
      <w:r w:rsidR="006511D1">
        <w:t xml:space="preserve"> This will be done in partnership with whanau and educational settings in which the </w:t>
      </w:r>
      <w:proofErr w:type="spellStart"/>
      <w:r w:rsidR="006511D1">
        <w:t>ākonga</w:t>
      </w:r>
      <w:proofErr w:type="spellEnd"/>
      <w:r w:rsidR="006511D1">
        <w:t xml:space="preserve"> are enrolled.</w:t>
      </w:r>
    </w:p>
    <w:p w14:paraId="1AE5AF1A" w14:textId="5E615DF5" w:rsidR="003979DC" w:rsidRDefault="00341B2D" w:rsidP="005A2910">
      <w:pPr>
        <w:pStyle w:val="Heading3"/>
      </w:pPr>
      <w:r>
        <w:t>Whānau</w:t>
      </w:r>
      <w:r w:rsidR="003979DC">
        <w:t xml:space="preserve"> Consent</w:t>
      </w:r>
    </w:p>
    <w:p w14:paraId="787B27A6" w14:textId="001C3A0D" w:rsidR="003979DC" w:rsidRDefault="00341B2D" w:rsidP="003979DC">
      <w:r>
        <w:t>Whānau</w:t>
      </w:r>
      <w:r w:rsidR="003979DC">
        <w:t xml:space="preserve"> have the right to be informed about the content and delivery of sexual</w:t>
      </w:r>
      <w:r w:rsidR="00FB4084">
        <w:t>ity</w:t>
      </w:r>
      <w:r w:rsidR="003979DC">
        <w:t xml:space="preserve"> </w:t>
      </w:r>
      <w:r w:rsidR="001E5AEA">
        <w:t xml:space="preserve">education </w:t>
      </w:r>
      <w:proofErr w:type="spellStart"/>
      <w:r w:rsidR="001E5AEA">
        <w:t>programmes</w:t>
      </w:r>
      <w:proofErr w:type="spellEnd"/>
      <w:r w:rsidR="001E5AEA">
        <w:t xml:space="preserve"> run by BLENNZ</w:t>
      </w:r>
      <w:r w:rsidR="003979DC">
        <w:t xml:space="preserve">. </w:t>
      </w:r>
      <w:r w:rsidR="005A2910">
        <w:t>BLENNZ</w:t>
      </w:r>
      <w:r w:rsidR="003979DC">
        <w:t xml:space="preserve"> must inform </w:t>
      </w:r>
      <w:r>
        <w:t>whānau</w:t>
      </w:r>
      <w:r w:rsidR="003979DC">
        <w:t xml:space="preserve"> about the sexual</w:t>
      </w:r>
      <w:r w:rsidR="00FC0705">
        <w:t>ity</w:t>
      </w:r>
      <w:r w:rsidR="003979DC">
        <w:t xml:space="preserve"> education curriculum and seek their consent before delivering it to their children. </w:t>
      </w:r>
      <w:r>
        <w:t>BLENNZ</w:t>
      </w:r>
      <w:r w:rsidR="003979DC">
        <w:t xml:space="preserve"> must also provide parents with the option to withdraw their child from sexual</w:t>
      </w:r>
      <w:r w:rsidR="00892E22">
        <w:t>ity</w:t>
      </w:r>
      <w:r w:rsidR="003979DC">
        <w:t xml:space="preserve"> education classes.</w:t>
      </w:r>
    </w:p>
    <w:p w14:paraId="315DB17B" w14:textId="77777777" w:rsidR="003979DC" w:rsidRDefault="003979DC" w:rsidP="005A2910">
      <w:pPr>
        <w:pStyle w:val="Heading3"/>
      </w:pPr>
      <w:r>
        <w:t>Professional Development</w:t>
      </w:r>
    </w:p>
    <w:p w14:paraId="726E7B85" w14:textId="0135C728" w:rsidR="003979DC" w:rsidRDefault="003979DC" w:rsidP="003979DC">
      <w:r>
        <w:t xml:space="preserve">Teachers must be adequately </w:t>
      </w:r>
      <w:r w:rsidR="001E5AEA">
        <w:t>prepared</w:t>
      </w:r>
      <w:r>
        <w:t xml:space="preserve"> to deliver sexual</w:t>
      </w:r>
      <w:r w:rsidR="00892E22">
        <w:t>ity</w:t>
      </w:r>
      <w:r>
        <w:t xml:space="preserve"> education in a sensitive, informed, and age-appropriate manner. </w:t>
      </w:r>
      <w:r w:rsidR="005A2910">
        <w:t>BLENNZ</w:t>
      </w:r>
      <w:r>
        <w:t xml:space="preserve"> must provide professional development opportunities for teachers to improve their knowledge and skills in sexual</w:t>
      </w:r>
      <w:r w:rsidR="00447BD6">
        <w:t>ity</w:t>
      </w:r>
      <w:r>
        <w:t xml:space="preserve"> education</w:t>
      </w:r>
      <w:r w:rsidR="001E5AEA">
        <w:t xml:space="preserve"> as required.</w:t>
      </w:r>
    </w:p>
    <w:p w14:paraId="0694591A" w14:textId="77777777" w:rsidR="003979DC" w:rsidRDefault="003979DC" w:rsidP="005A2910">
      <w:pPr>
        <w:pStyle w:val="Heading3"/>
      </w:pPr>
      <w:r>
        <w:t>Confidentiality</w:t>
      </w:r>
    </w:p>
    <w:p w14:paraId="042B00BB" w14:textId="46408E1F" w:rsidR="003979DC" w:rsidRDefault="005A2910" w:rsidP="003979DC">
      <w:proofErr w:type="spellStart"/>
      <w:r>
        <w:t>Ākonga</w:t>
      </w:r>
      <w:proofErr w:type="spellEnd"/>
      <w:r w:rsidR="003979DC">
        <w:t xml:space="preserve"> have the right to confidentiality when discussing sexual</w:t>
      </w:r>
      <w:r w:rsidR="00447BD6">
        <w:t>ity</w:t>
      </w:r>
      <w:r w:rsidR="003979DC">
        <w:t xml:space="preserve"> education with teachers. Teachers must maintain strict confidentiality and only share information with parents or caregivers when required by law or when there is a risk of harm to the </w:t>
      </w:r>
      <w:proofErr w:type="spellStart"/>
      <w:r>
        <w:t>ākonga</w:t>
      </w:r>
      <w:proofErr w:type="spellEnd"/>
      <w:r w:rsidR="003979DC">
        <w:t xml:space="preserve"> or others.</w:t>
      </w:r>
    </w:p>
    <w:p w14:paraId="299381C1" w14:textId="7B3EA996" w:rsidR="004D085B" w:rsidRDefault="004D085B" w:rsidP="004D085B">
      <w:pPr>
        <w:pStyle w:val="Heading3"/>
      </w:pPr>
      <w:r>
        <w:lastRenderedPageBreak/>
        <w:t>Supporting Documents</w:t>
      </w:r>
    </w:p>
    <w:p w14:paraId="5610A496" w14:textId="6293092E" w:rsidR="004D085B" w:rsidRDefault="00734275" w:rsidP="004D085B">
      <w:hyperlink r:id="rId10" w:history="1">
        <w:r w:rsidR="00D3139B">
          <w:rPr>
            <w:rStyle w:val="Hyperlink"/>
          </w:rPr>
          <w:t>Relationships and sexuality educati</w:t>
        </w:r>
        <w:bookmarkStart w:id="0" w:name="_Hlt137559027"/>
        <w:bookmarkStart w:id="1" w:name="_Hlt137559028"/>
        <w:r w:rsidR="00D3139B">
          <w:rPr>
            <w:rStyle w:val="Hyperlink"/>
          </w:rPr>
          <w:t>o</w:t>
        </w:r>
        <w:bookmarkEnd w:id="0"/>
        <w:bookmarkEnd w:id="1"/>
        <w:r w:rsidR="00D3139B">
          <w:rPr>
            <w:rStyle w:val="Hyperlink"/>
          </w:rPr>
          <w:t>n: A guide for teachers</w:t>
        </w:r>
        <w:bookmarkStart w:id="2" w:name="_Hlt137558850"/>
        <w:bookmarkStart w:id="3" w:name="_Hlt137558851"/>
        <w:r w:rsidR="00D3139B">
          <w:rPr>
            <w:rStyle w:val="Hyperlink"/>
          </w:rPr>
          <w:t>,</w:t>
        </w:r>
        <w:bookmarkEnd w:id="2"/>
        <w:bookmarkEnd w:id="3"/>
        <w:r w:rsidR="00D3139B">
          <w:rPr>
            <w:rStyle w:val="Hyperlink"/>
          </w:rPr>
          <w:t xml:space="preserve"> </w:t>
        </w:r>
        <w:proofErr w:type="gramStart"/>
        <w:r w:rsidR="00D3139B">
          <w:rPr>
            <w:rStyle w:val="Hyperlink"/>
          </w:rPr>
          <w:t>leaders</w:t>
        </w:r>
        <w:proofErr w:type="gramEnd"/>
        <w:r w:rsidR="00D3139B">
          <w:rPr>
            <w:rStyle w:val="Hyperlink"/>
          </w:rPr>
          <w:t xml:space="preserve"> and boards of trustees | Health &amp; PE · TKI</w:t>
        </w:r>
      </w:hyperlink>
    </w:p>
    <w:p w14:paraId="24C44587" w14:textId="77EDFABA" w:rsidR="007E701B" w:rsidRDefault="007E701B" w:rsidP="007E701B">
      <w:pPr>
        <w:rPr>
          <w:lang w:val="en-NZ"/>
        </w:rPr>
      </w:pPr>
      <w:r>
        <w:rPr>
          <w:lang w:val="en-NZ"/>
        </w:rPr>
        <w:t>Approved:</w:t>
      </w:r>
      <w:r w:rsidR="00734275">
        <w:rPr>
          <w:lang w:val="en-NZ"/>
        </w:rPr>
        <w:tab/>
      </w:r>
      <w:r w:rsidR="00734275" w:rsidRPr="000D311F">
        <w:rPr>
          <w:noProof/>
          <w:lang w:eastAsia="en-NZ"/>
        </w:rPr>
        <w:drawing>
          <wp:inline distT="0" distB="0" distL="0" distR="0" wp14:anchorId="7FB8B36B" wp14:editId="6BC807D4">
            <wp:extent cx="1094740" cy="405765"/>
            <wp:effectExtent l="0" t="0" r="0" b="0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1AF2" w14:textId="798CD02A" w:rsidR="007E701B" w:rsidRDefault="007E701B" w:rsidP="007E701B">
      <w:pPr>
        <w:rPr>
          <w:lang w:val="en-NZ"/>
        </w:rPr>
      </w:pPr>
      <w:r>
        <w:rPr>
          <w:lang w:val="en-NZ"/>
        </w:rPr>
        <w:t>Date:</w:t>
      </w:r>
      <w:r w:rsidR="00734275">
        <w:rPr>
          <w:lang w:val="en-NZ"/>
        </w:rPr>
        <w:tab/>
        <w:t>1 October 2023</w:t>
      </w:r>
    </w:p>
    <w:p w14:paraId="1D9273A8" w14:textId="77777777" w:rsidR="007E701B" w:rsidRDefault="007E701B" w:rsidP="007E701B">
      <w:pPr>
        <w:rPr>
          <w:lang w:val="en-NZ"/>
        </w:rPr>
      </w:pPr>
      <w:r>
        <w:rPr>
          <w:lang w:val="en-NZ"/>
        </w:rPr>
        <w:t>Next Review:</w:t>
      </w:r>
      <w:r>
        <w:rPr>
          <w:lang w:val="en-NZ"/>
        </w:rPr>
        <w:tab/>
        <w:t>2026</w:t>
      </w:r>
    </w:p>
    <w:p w14:paraId="6F6425CB" w14:textId="77777777" w:rsidR="00D3139B" w:rsidRDefault="00D3139B" w:rsidP="004D085B"/>
    <w:sectPr w:rsidR="00D3139B" w:rsidSect="00F00755"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7068" w14:textId="77777777" w:rsidR="00387A77" w:rsidRDefault="00387A77" w:rsidP="009F789E">
      <w:pPr>
        <w:spacing w:after="0" w:line="240" w:lineRule="auto"/>
      </w:pPr>
      <w:r>
        <w:separator/>
      </w:r>
    </w:p>
  </w:endnote>
  <w:endnote w:type="continuationSeparator" w:id="0">
    <w:p w14:paraId="66F19DE2" w14:textId="77777777" w:rsidR="00387A77" w:rsidRDefault="00387A77" w:rsidP="009F789E">
      <w:pPr>
        <w:spacing w:after="0" w:line="240" w:lineRule="auto"/>
      </w:pPr>
      <w:r>
        <w:continuationSeparator/>
      </w:r>
    </w:p>
  </w:endnote>
  <w:endnote w:type="continuationNotice" w:id="1">
    <w:p w14:paraId="45AB0449" w14:textId="77777777" w:rsidR="00387A77" w:rsidRDefault="00387A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962D" w14:textId="1C2A5F26" w:rsidR="006511D1" w:rsidRDefault="006511D1">
    <w:pPr>
      <w:pStyle w:val="Footer"/>
      <w:rPr>
        <w:b/>
        <w:bCs/>
      </w:rPr>
    </w:pPr>
    <w:r>
      <w:t>OP1-05 2023 Relationships &amp; Sexuality Education Policy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2A58E4D8" w14:textId="0E481F6F" w:rsidR="009F789E" w:rsidRDefault="00CC2069">
    <w:pPr>
      <w:pStyle w:val="Footer"/>
    </w:pPr>
    <w:r>
      <w:rPr>
        <w:bCs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89EA" w14:textId="77777777" w:rsidR="00387A77" w:rsidRDefault="00387A77" w:rsidP="009F789E">
      <w:pPr>
        <w:spacing w:after="0" w:line="240" w:lineRule="auto"/>
      </w:pPr>
      <w:r>
        <w:separator/>
      </w:r>
    </w:p>
  </w:footnote>
  <w:footnote w:type="continuationSeparator" w:id="0">
    <w:p w14:paraId="4EDEEC44" w14:textId="77777777" w:rsidR="00387A77" w:rsidRDefault="00387A77" w:rsidP="009F789E">
      <w:pPr>
        <w:spacing w:after="0" w:line="240" w:lineRule="auto"/>
      </w:pPr>
      <w:r>
        <w:continuationSeparator/>
      </w:r>
    </w:p>
  </w:footnote>
  <w:footnote w:type="continuationNotice" w:id="1">
    <w:p w14:paraId="76926DE2" w14:textId="77777777" w:rsidR="00387A77" w:rsidRDefault="00387A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62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CAED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806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F04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D4A5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83CC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9A3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D0A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201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702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E2B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2833429">
    <w:abstractNumId w:val="0"/>
  </w:num>
  <w:num w:numId="2" w16cid:durableId="7370535">
    <w:abstractNumId w:val="1"/>
  </w:num>
  <w:num w:numId="3" w16cid:durableId="747581261">
    <w:abstractNumId w:val="2"/>
  </w:num>
  <w:num w:numId="4" w16cid:durableId="756368886">
    <w:abstractNumId w:val="3"/>
  </w:num>
  <w:num w:numId="5" w16cid:durableId="1526409789">
    <w:abstractNumId w:val="4"/>
  </w:num>
  <w:num w:numId="6" w16cid:durableId="2141652493">
    <w:abstractNumId w:val="9"/>
  </w:num>
  <w:num w:numId="7" w16cid:durableId="565646093">
    <w:abstractNumId w:val="5"/>
  </w:num>
  <w:num w:numId="8" w16cid:durableId="1802310081">
    <w:abstractNumId w:val="6"/>
  </w:num>
  <w:num w:numId="9" w16cid:durableId="1372002440">
    <w:abstractNumId w:val="7"/>
  </w:num>
  <w:num w:numId="10" w16cid:durableId="355468781">
    <w:abstractNumId w:val="8"/>
  </w:num>
  <w:num w:numId="11" w16cid:durableId="746927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DC"/>
    <w:rsid w:val="00005B81"/>
    <w:rsid w:val="000078CD"/>
    <w:rsid w:val="0003389E"/>
    <w:rsid w:val="0003479E"/>
    <w:rsid w:val="0007570E"/>
    <w:rsid w:val="000B5A64"/>
    <w:rsid w:val="000D02F5"/>
    <w:rsid w:val="000E4525"/>
    <w:rsid w:val="001054D2"/>
    <w:rsid w:val="00153A0E"/>
    <w:rsid w:val="00164DAB"/>
    <w:rsid w:val="0019708F"/>
    <w:rsid w:val="001A09F3"/>
    <w:rsid w:val="001E5AEA"/>
    <w:rsid w:val="00224978"/>
    <w:rsid w:val="00237C38"/>
    <w:rsid w:val="002723A9"/>
    <w:rsid w:val="002824F2"/>
    <w:rsid w:val="002B2E62"/>
    <w:rsid w:val="002E1FB6"/>
    <w:rsid w:val="0031094F"/>
    <w:rsid w:val="00325E7D"/>
    <w:rsid w:val="00327B8E"/>
    <w:rsid w:val="00334086"/>
    <w:rsid w:val="00341B2D"/>
    <w:rsid w:val="00376021"/>
    <w:rsid w:val="00385091"/>
    <w:rsid w:val="00387A77"/>
    <w:rsid w:val="003979DC"/>
    <w:rsid w:val="003D7407"/>
    <w:rsid w:val="004056FA"/>
    <w:rsid w:val="00421E81"/>
    <w:rsid w:val="00447BD6"/>
    <w:rsid w:val="0045232A"/>
    <w:rsid w:val="00464A1F"/>
    <w:rsid w:val="004839D5"/>
    <w:rsid w:val="004B5061"/>
    <w:rsid w:val="004D085B"/>
    <w:rsid w:val="004D2456"/>
    <w:rsid w:val="004E6232"/>
    <w:rsid w:val="005227C6"/>
    <w:rsid w:val="00531098"/>
    <w:rsid w:val="00536DF8"/>
    <w:rsid w:val="00575E7B"/>
    <w:rsid w:val="0057784B"/>
    <w:rsid w:val="005A2910"/>
    <w:rsid w:val="005C7DA0"/>
    <w:rsid w:val="005E46A8"/>
    <w:rsid w:val="005F37B1"/>
    <w:rsid w:val="0062199A"/>
    <w:rsid w:val="00633851"/>
    <w:rsid w:val="006511D1"/>
    <w:rsid w:val="00652C36"/>
    <w:rsid w:val="00655725"/>
    <w:rsid w:val="00662EE4"/>
    <w:rsid w:val="006A0D56"/>
    <w:rsid w:val="006A2265"/>
    <w:rsid w:val="006A78FA"/>
    <w:rsid w:val="006B2E75"/>
    <w:rsid w:val="006B512F"/>
    <w:rsid w:val="006D1629"/>
    <w:rsid w:val="006E3D73"/>
    <w:rsid w:val="006F0472"/>
    <w:rsid w:val="006F5B20"/>
    <w:rsid w:val="00703BBB"/>
    <w:rsid w:val="00716B42"/>
    <w:rsid w:val="00734275"/>
    <w:rsid w:val="007735B5"/>
    <w:rsid w:val="007948BD"/>
    <w:rsid w:val="007C7F63"/>
    <w:rsid w:val="007E701B"/>
    <w:rsid w:val="00806ECD"/>
    <w:rsid w:val="00827BC2"/>
    <w:rsid w:val="00892E22"/>
    <w:rsid w:val="008E1D43"/>
    <w:rsid w:val="008E60AB"/>
    <w:rsid w:val="00911B3F"/>
    <w:rsid w:val="009352A1"/>
    <w:rsid w:val="00935B44"/>
    <w:rsid w:val="00943E12"/>
    <w:rsid w:val="0098150E"/>
    <w:rsid w:val="00994155"/>
    <w:rsid w:val="009A083F"/>
    <w:rsid w:val="009B3D36"/>
    <w:rsid w:val="009B54AC"/>
    <w:rsid w:val="009B6D4D"/>
    <w:rsid w:val="009F789E"/>
    <w:rsid w:val="00A11302"/>
    <w:rsid w:val="00A32C28"/>
    <w:rsid w:val="00A9618B"/>
    <w:rsid w:val="00AB02A6"/>
    <w:rsid w:val="00AC4AD4"/>
    <w:rsid w:val="00AD5B77"/>
    <w:rsid w:val="00AF3864"/>
    <w:rsid w:val="00B01EE1"/>
    <w:rsid w:val="00B105BB"/>
    <w:rsid w:val="00B41A18"/>
    <w:rsid w:val="00B42C7D"/>
    <w:rsid w:val="00B765E3"/>
    <w:rsid w:val="00B77A4D"/>
    <w:rsid w:val="00B919A9"/>
    <w:rsid w:val="00B922EB"/>
    <w:rsid w:val="00BA28CB"/>
    <w:rsid w:val="00C062AD"/>
    <w:rsid w:val="00C66BEA"/>
    <w:rsid w:val="00C81107"/>
    <w:rsid w:val="00C94167"/>
    <w:rsid w:val="00CC2069"/>
    <w:rsid w:val="00CD05F8"/>
    <w:rsid w:val="00CD34D9"/>
    <w:rsid w:val="00CE2654"/>
    <w:rsid w:val="00CE62E6"/>
    <w:rsid w:val="00CF4A8E"/>
    <w:rsid w:val="00D2077A"/>
    <w:rsid w:val="00D3139B"/>
    <w:rsid w:val="00D32C61"/>
    <w:rsid w:val="00D46690"/>
    <w:rsid w:val="00D8532F"/>
    <w:rsid w:val="00DB7450"/>
    <w:rsid w:val="00DD7A6F"/>
    <w:rsid w:val="00E24ED1"/>
    <w:rsid w:val="00E50126"/>
    <w:rsid w:val="00E55FC2"/>
    <w:rsid w:val="00E9286C"/>
    <w:rsid w:val="00ED2D27"/>
    <w:rsid w:val="00ED56E4"/>
    <w:rsid w:val="00EF4672"/>
    <w:rsid w:val="00F00755"/>
    <w:rsid w:val="00F118C4"/>
    <w:rsid w:val="00F45EAA"/>
    <w:rsid w:val="00F470DE"/>
    <w:rsid w:val="00FA01CD"/>
    <w:rsid w:val="00FA5A1A"/>
    <w:rsid w:val="00FB4084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2F53B"/>
  <w15:chartTrackingRefBased/>
  <w15:docId w15:val="{27FCC020-7E6F-234D-8155-3D26198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8E"/>
    <w:pPr>
      <w:spacing w:before="100" w:beforeAutospacing="1" w:after="100" w:afterAutospacing="1"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7B8E"/>
    <w:pPr>
      <w:keepNext/>
      <w:keepLines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27B8E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27BC2"/>
    <w:pPr>
      <w:keepNext/>
      <w:keepLines/>
      <w:spacing w:before="80" w:after="40"/>
      <w:outlineLvl w:val="2"/>
    </w:pPr>
    <w:rPr>
      <w:rFonts w:eastAsiaTheme="majorEastAsia" w:cstheme="majorBidi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827BC2"/>
    <w:pPr>
      <w:keepNext/>
      <w:keepLines/>
      <w:spacing w:before="40" w:after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B8E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7B8E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BC2"/>
    <w:rPr>
      <w:rFonts w:ascii="Arial" w:eastAsiaTheme="majorEastAsia" w:hAnsi="Arial" w:cstheme="majorBidi"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27BC2"/>
    <w:rPr>
      <w:rFonts w:ascii="Arial" w:eastAsiaTheme="majorEastAsia" w:hAnsi="Arial" w:cstheme="majorBidi"/>
      <w:b/>
      <w:iCs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9F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9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F7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9E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D3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22962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0554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2677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42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46256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971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255625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45280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16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075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26119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1449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74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653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27249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9836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316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24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66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hpe.tki.org.nz/guidelines-and-policies/relationships-and-sexuality-edu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stewart\OneDrive%20-%20Blind%20and%20Low%20Vision%20Education%20Network%20NZ\Documents\Custom%20Office%20Templates\Accessibl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79D32-1B35-4481-8120-8E26394D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82153-E0C3-4ACA-86F3-4D6B1B5CE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99BF5-C64B-47AD-BF69-7FF7FBB0A760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806377ac-65e5-4de6-a576-ed9bbd38d598"/>
    <ds:schemaRef ds:uri="http://schemas.microsoft.com/office/2006/documentManagement/types"/>
    <ds:schemaRef ds:uri="ba88ec04-25a7-4cd5-abd9-12b8e17c889a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Document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https://hpe.tki.org.nz/guidelines-and-policies/relationships-and-sexuality-education/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Stewart</dc:creator>
  <cp:keywords/>
  <dc:description/>
  <cp:lastModifiedBy>Bridget Lamphee</cp:lastModifiedBy>
  <cp:revision>2</cp:revision>
  <cp:lastPrinted>2023-09-19T23:29:00Z</cp:lastPrinted>
  <dcterms:created xsi:type="dcterms:W3CDTF">2023-11-30T20:21:00Z</dcterms:created>
  <dcterms:modified xsi:type="dcterms:W3CDTF">2023-11-30T20:21:00Z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